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714F" w:rsidRDefault="0014714F" w:rsidP="0014714F"/>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595B4F" w:rsidRDefault="00595B4F" w:rsidP="00595B4F">
      <w:pPr>
        <w:jc w:val="center"/>
        <w:rPr>
          <w:b/>
          <w:bCs/>
          <w:sz w:val="36"/>
          <w:szCs w:val="36"/>
        </w:rPr>
      </w:pPr>
    </w:p>
    <w:p w:rsidR="006E1399" w:rsidRPr="00667E43" w:rsidRDefault="00595B4F" w:rsidP="00560268">
      <w:pPr>
        <w:jc w:val="center"/>
        <w:rPr>
          <w:b/>
          <w:bCs/>
          <w:sz w:val="36"/>
          <w:szCs w:val="36"/>
        </w:rPr>
      </w:pPr>
      <w:r w:rsidRPr="00667E43">
        <w:rPr>
          <w:b/>
          <w:bCs/>
          <w:sz w:val="36"/>
          <w:szCs w:val="36"/>
        </w:rPr>
        <w:t>Smernica</w:t>
      </w:r>
      <w:r w:rsidR="00344AA8">
        <w:rPr>
          <w:b/>
          <w:bCs/>
          <w:sz w:val="36"/>
          <w:szCs w:val="36"/>
        </w:rPr>
        <w:t xml:space="preserve"> </w:t>
      </w:r>
      <w:r w:rsidR="00464D48">
        <w:rPr>
          <w:b/>
          <w:bCs/>
          <w:sz w:val="36"/>
          <w:szCs w:val="36"/>
        </w:rPr>
        <w:t>o evidovaní, odpisovaní a účtovaní majetku</w:t>
      </w:r>
    </w:p>
    <w:p w:rsidR="00595B4F" w:rsidRDefault="00595B4F" w:rsidP="0014714F"/>
    <w:p w:rsidR="00595B4F" w:rsidRDefault="00595B4F" w:rsidP="0014714F"/>
    <w:p w:rsidR="00595B4F" w:rsidRDefault="00595B4F" w:rsidP="0014714F"/>
    <w:p w:rsidR="00595B4F" w:rsidRDefault="00595B4F" w:rsidP="0014714F"/>
    <w:p w:rsidR="00595B4F" w:rsidRDefault="00595B4F" w:rsidP="0014714F"/>
    <w:p w:rsidR="00344AA8" w:rsidRDefault="00344AA8" w:rsidP="0014714F"/>
    <w:p w:rsidR="00344AA8" w:rsidRDefault="00344AA8" w:rsidP="0014714F"/>
    <w:p w:rsidR="00595B4F" w:rsidRDefault="00595B4F" w:rsidP="0014714F"/>
    <w:p w:rsidR="00595B4F" w:rsidRDefault="00595B4F" w:rsidP="0014714F"/>
    <w:tbl>
      <w:tblPr>
        <w:tblW w:w="0" w:type="auto"/>
        <w:tblInd w:w="-15" w:type="dxa"/>
        <w:tblLayout w:type="fixed"/>
        <w:tblCellMar>
          <w:left w:w="70" w:type="dxa"/>
          <w:right w:w="70" w:type="dxa"/>
        </w:tblCellMar>
        <w:tblLook w:val="0000" w:firstRow="0" w:lastRow="0" w:firstColumn="0" w:lastColumn="0" w:noHBand="0" w:noVBand="0"/>
      </w:tblPr>
      <w:tblGrid>
        <w:gridCol w:w="5032"/>
        <w:gridCol w:w="4210"/>
      </w:tblGrid>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after="0" w:line="240" w:lineRule="auto"/>
            </w:pPr>
            <w:r w:rsidRPr="00344AA8">
              <w:t xml:space="preserve">Názov a sídlo organizácie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344AA8" w:rsidP="00344AA8">
            <w:pPr>
              <w:spacing w:after="0" w:line="240" w:lineRule="auto"/>
            </w:pPr>
            <w:r w:rsidRPr="00344AA8">
              <w:t>IPEĽ Zariadenie sociálnych služieb Leľa</w:t>
            </w:r>
          </w:p>
          <w:p w:rsidR="00344AA8" w:rsidRPr="00344AA8" w:rsidRDefault="00344AA8" w:rsidP="00344AA8">
            <w:pPr>
              <w:spacing w:after="0" w:line="240" w:lineRule="auto"/>
            </w:pPr>
            <w:r w:rsidRPr="00344AA8">
              <w:t>Leľa č. 17</w:t>
            </w:r>
          </w:p>
          <w:p w:rsidR="00344AA8" w:rsidRPr="00344AA8" w:rsidRDefault="00344AA8" w:rsidP="00344AA8">
            <w:pPr>
              <w:spacing w:after="0" w:line="240" w:lineRule="auto"/>
            </w:pPr>
            <w:r w:rsidRPr="00344AA8">
              <w:t>943 65 p. Kamenica nad Hronom</w:t>
            </w:r>
          </w:p>
        </w:tc>
      </w:tr>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line="240" w:lineRule="auto"/>
            </w:pPr>
            <w:r w:rsidRPr="00344AA8">
              <w:t>Poradové číslo vnútorného predpisu</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6B5B23" w:rsidP="00344AA8">
            <w:pPr>
              <w:spacing w:line="240" w:lineRule="auto"/>
            </w:pPr>
            <w:r>
              <w:t>4</w:t>
            </w:r>
            <w:r w:rsidR="00344AA8" w:rsidRPr="00344AA8">
              <w:t>/2016</w:t>
            </w:r>
          </w:p>
        </w:tc>
      </w:tr>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line="240" w:lineRule="auto"/>
            </w:pPr>
            <w:r w:rsidRPr="00344AA8">
              <w:t xml:space="preserve">Vypracovala :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344AA8" w:rsidP="00344AA8">
            <w:pPr>
              <w:spacing w:line="240" w:lineRule="auto"/>
            </w:pPr>
            <w:r w:rsidRPr="00344AA8">
              <w:t xml:space="preserve">Alena Kissová – </w:t>
            </w:r>
            <w:proofErr w:type="spellStart"/>
            <w:r w:rsidRPr="00344AA8">
              <w:t>sam.odb.účtovníčka</w:t>
            </w:r>
            <w:proofErr w:type="spellEnd"/>
          </w:p>
        </w:tc>
      </w:tr>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line="240" w:lineRule="auto"/>
            </w:pPr>
            <w:r w:rsidRPr="00344AA8">
              <w:t>Schválil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344AA8" w:rsidP="00344AA8">
            <w:pPr>
              <w:spacing w:line="240" w:lineRule="auto"/>
            </w:pPr>
            <w:r w:rsidRPr="00344AA8">
              <w:t xml:space="preserve">Mgr. </w:t>
            </w:r>
            <w:proofErr w:type="spellStart"/>
            <w:r w:rsidRPr="00344AA8">
              <w:t>Lydie</w:t>
            </w:r>
            <w:proofErr w:type="spellEnd"/>
            <w:r w:rsidRPr="00344AA8">
              <w:t xml:space="preserve"> </w:t>
            </w:r>
            <w:proofErr w:type="spellStart"/>
            <w:r w:rsidRPr="00344AA8">
              <w:t>Kunyová</w:t>
            </w:r>
            <w:proofErr w:type="spellEnd"/>
            <w:r w:rsidRPr="00344AA8">
              <w:t xml:space="preserve"> - riaditeľka</w:t>
            </w:r>
          </w:p>
        </w:tc>
      </w:tr>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line="240" w:lineRule="auto"/>
            </w:pPr>
            <w:r w:rsidRPr="00344AA8">
              <w:t>Dátum vyhotovenia vnútorného predpisu</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344AA8" w:rsidP="00344AA8">
            <w:pPr>
              <w:spacing w:line="240" w:lineRule="auto"/>
            </w:pPr>
            <w:r w:rsidRPr="00344AA8">
              <w:t>30.12.2015</w:t>
            </w:r>
          </w:p>
        </w:tc>
      </w:tr>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line="240" w:lineRule="auto"/>
            </w:pPr>
            <w:r w:rsidRPr="00344AA8">
              <w:t xml:space="preserve">Účinnosť vnútorného predpisu od </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344AA8" w:rsidP="00344AA8">
            <w:pPr>
              <w:spacing w:line="240" w:lineRule="auto"/>
            </w:pPr>
            <w:r w:rsidRPr="00344AA8">
              <w:t xml:space="preserve">   1.1.2016</w:t>
            </w:r>
          </w:p>
        </w:tc>
      </w:tr>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line="240" w:lineRule="auto"/>
            </w:pPr>
            <w:r w:rsidRPr="00344AA8">
              <w:t xml:space="preserve">Ruší sa </w:t>
            </w:r>
            <w:r w:rsidR="006B5B23">
              <w:t>smernica</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344AA8" w:rsidP="00344AA8">
            <w:pPr>
              <w:spacing w:line="240" w:lineRule="auto"/>
            </w:pPr>
            <w:r w:rsidRPr="00344AA8">
              <w:t xml:space="preserve">   číslo:                   zo dňa:</w:t>
            </w:r>
          </w:p>
        </w:tc>
      </w:tr>
      <w:tr w:rsidR="00344AA8" w:rsidRPr="00344AA8" w:rsidTr="00884C5B">
        <w:tc>
          <w:tcPr>
            <w:tcW w:w="5032" w:type="dxa"/>
            <w:tcBorders>
              <w:top w:val="single" w:sz="4" w:space="0" w:color="000000"/>
              <w:left w:val="single" w:sz="4" w:space="0" w:color="000000"/>
              <w:bottom w:val="single" w:sz="4" w:space="0" w:color="000000"/>
            </w:tcBorders>
            <w:shd w:val="clear" w:color="auto" w:fill="auto"/>
          </w:tcPr>
          <w:p w:rsidR="00344AA8" w:rsidRPr="00344AA8" w:rsidRDefault="00344AA8" w:rsidP="00344AA8">
            <w:pPr>
              <w:spacing w:line="240" w:lineRule="auto"/>
            </w:pPr>
            <w:r w:rsidRPr="00344AA8">
              <w:t>Prílohy</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344AA8" w:rsidRPr="00344AA8" w:rsidRDefault="00344AA8" w:rsidP="00344AA8">
            <w:pPr>
              <w:spacing w:line="240" w:lineRule="auto"/>
            </w:pPr>
            <w:r w:rsidRPr="00344AA8">
              <w:t xml:space="preserve">   </w:t>
            </w:r>
          </w:p>
        </w:tc>
      </w:tr>
    </w:tbl>
    <w:p w:rsidR="006B5B23" w:rsidRPr="006B5B23" w:rsidRDefault="006B5B23" w:rsidP="006B5B23">
      <w:pPr>
        <w:jc w:val="both"/>
      </w:pPr>
      <w:r>
        <w:lastRenderedPageBreak/>
        <w:t>Smernica</w:t>
      </w:r>
      <w:r w:rsidRPr="006B5B23">
        <w:t xml:space="preserve"> je vypracovan</w:t>
      </w:r>
      <w:r>
        <w:t>á</w:t>
      </w:r>
      <w:r w:rsidRPr="006B5B23">
        <w:t xml:space="preserve"> v zmysle zákona č.431/2002 </w:t>
      </w:r>
      <w:proofErr w:type="spellStart"/>
      <w:r w:rsidRPr="006B5B23">
        <w:t>Z.z</w:t>
      </w:r>
      <w:proofErr w:type="spellEnd"/>
      <w:r w:rsidRPr="006B5B23">
        <w:t xml:space="preserve">. o účtovníctve v znení neskorších predpisov a v zmysle Opatrenia  MF SR z 8.augusta 2007, ktorým sa ustanovujú podrobnosti o postupoch účtovania a rámcovej účtovej osnove pre rozpočtové organizácie, príspevkové organizácie, štátne fondy, obce a vyššie územné celky, uverejneného pod </w:t>
      </w:r>
      <w:proofErr w:type="spellStart"/>
      <w:r w:rsidRPr="006B5B23">
        <w:t>č.MF</w:t>
      </w:r>
      <w:proofErr w:type="spellEnd"/>
      <w:r w:rsidRPr="006B5B23">
        <w:t>/16786/2007-31 v </w:t>
      </w:r>
      <w:proofErr w:type="spellStart"/>
      <w:r w:rsidRPr="006B5B23">
        <w:t>z.n.p</w:t>
      </w:r>
      <w:proofErr w:type="spellEnd"/>
      <w:r w:rsidRPr="006B5B23">
        <w:t>. (ďalej len Postupy účtovania).</w:t>
      </w:r>
    </w:p>
    <w:p w:rsidR="006B5B23" w:rsidRPr="006B5B23" w:rsidRDefault="006B5B23" w:rsidP="006B5B23">
      <w:pPr>
        <w:jc w:val="both"/>
        <w:rPr>
          <w:b/>
        </w:rPr>
      </w:pPr>
    </w:p>
    <w:p w:rsidR="006B5B23" w:rsidRPr="006B5B23" w:rsidRDefault="006B5B23" w:rsidP="006B5B23">
      <w:pPr>
        <w:jc w:val="both"/>
      </w:pPr>
      <w:r w:rsidRPr="006B5B23">
        <w:rPr>
          <w:b/>
        </w:rPr>
        <w:t>Článok 1</w:t>
      </w:r>
    </w:p>
    <w:p w:rsidR="006B5B23" w:rsidRDefault="006B5B23" w:rsidP="006B5B23">
      <w:pPr>
        <w:jc w:val="both"/>
        <w:rPr>
          <w:b/>
        </w:rPr>
      </w:pPr>
      <w:r w:rsidRPr="006B5B23">
        <w:rPr>
          <w:b/>
        </w:rPr>
        <w:t>Vymedzenie základných pojmov</w:t>
      </w:r>
    </w:p>
    <w:p w:rsidR="006B5B23" w:rsidRPr="006B5B23" w:rsidRDefault="006B5B23" w:rsidP="006B5B23">
      <w:pPr>
        <w:jc w:val="both"/>
      </w:pPr>
    </w:p>
    <w:p w:rsidR="006B5B23" w:rsidRPr="006B5B23" w:rsidRDefault="006B5B23" w:rsidP="006B5B23">
      <w:pPr>
        <w:numPr>
          <w:ilvl w:val="0"/>
          <w:numId w:val="17"/>
        </w:numPr>
        <w:tabs>
          <w:tab w:val="clear" w:pos="420"/>
          <w:tab w:val="num" w:pos="720"/>
        </w:tabs>
        <w:jc w:val="both"/>
      </w:pPr>
      <w:r w:rsidRPr="006B5B23">
        <w:t>Z časového hľadiska sa majetok člení na:</w:t>
      </w:r>
    </w:p>
    <w:p w:rsidR="006B5B23" w:rsidRPr="006B5B23" w:rsidRDefault="006B5B23" w:rsidP="006B5B23">
      <w:pPr>
        <w:numPr>
          <w:ilvl w:val="0"/>
          <w:numId w:val="23"/>
        </w:numPr>
        <w:jc w:val="both"/>
      </w:pPr>
      <w:r w:rsidRPr="006B5B23">
        <w:rPr>
          <w:b/>
        </w:rPr>
        <w:t>dlhodobý</w:t>
      </w:r>
      <w:r w:rsidRPr="006B5B23">
        <w:t xml:space="preserve"> </w:t>
      </w:r>
      <w:r w:rsidRPr="006B5B23">
        <w:rPr>
          <w:b/>
        </w:rPr>
        <w:t xml:space="preserve">majetok </w:t>
      </w:r>
      <w:r w:rsidRPr="006B5B23">
        <w:t xml:space="preserve">je majetok, ktorého doba použiteľnosti, dohodnutá doba splatnosti alebo vyrovnania iným spôsobom pri vzniku účtovného prípadu je </w:t>
      </w:r>
      <w:r w:rsidRPr="006B5B23">
        <w:rPr>
          <w:b/>
        </w:rPr>
        <w:t xml:space="preserve">dlhšia ako jeden rok    </w:t>
      </w:r>
    </w:p>
    <w:p w:rsidR="006B5B23" w:rsidRPr="006B5B23" w:rsidRDefault="006B5B23" w:rsidP="006B5B23">
      <w:pPr>
        <w:numPr>
          <w:ilvl w:val="0"/>
          <w:numId w:val="23"/>
        </w:numPr>
        <w:jc w:val="both"/>
      </w:pPr>
      <w:r w:rsidRPr="006B5B23">
        <w:rPr>
          <w:b/>
        </w:rPr>
        <w:t xml:space="preserve">krátkodobý majetok </w:t>
      </w:r>
      <w:r w:rsidRPr="006B5B23">
        <w:t xml:space="preserve">je majetok, ktorého doba použiteľnosti, dohodnutá doba splatnosti alebo vyrovnania iným spôsobom pri vzniku účtovného prípadu je najviac jeden rok    </w:t>
      </w:r>
    </w:p>
    <w:p w:rsidR="006B5B23" w:rsidRPr="006B5B23" w:rsidRDefault="006B5B23" w:rsidP="006B5B23">
      <w:pPr>
        <w:numPr>
          <w:ilvl w:val="0"/>
          <w:numId w:val="17"/>
        </w:numPr>
        <w:tabs>
          <w:tab w:val="clear" w:pos="420"/>
          <w:tab w:val="num" w:pos="720"/>
        </w:tabs>
        <w:jc w:val="both"/>
      </w:pPr>
      <w:r w:rsidRPr="006B5B23">
        <w:t>Dlhodobý majetok sa člení na:</w:t>
      </w:r>
    </w:p>
    <w:p w:rsidR="006B5B23" w:rsidRPr="006B5B23" w:rsidRDefault="006B5B23" w:rsidP="006B5B23">
      <w:pPr>
        <w:numPr>
          <w:ilvl w:val="0"/>
          <w:numId w:val="16"/>
        </w:numPr>
        <w:tabs>
          <w:tab w:val="clear" w:pos="708"/>
          <w:tab w:val="num" w:pos="950"/>
        </w:tabs>
        <w:jc w:val="both"/>
      </w:pPr>
      <w:r w:rsidRPr="006B5B23">
        <w:t>dlhodobý nehmotný majetok</w:t>
      </w:r>
    </w:p>
    <w:p w:rsidR="006B5B23" w:rsidRPr="006B5B23" w:rsidRDefault="006B5B23" w:rsidP="006B5B23">
      <w:pPr>
        <w:numPr>
          <w:ilvl w:val="0"/>
          <w:numId w:val="16"/>
        </w:numPr>
        <w:tabs>
          <w:tab w:val="clear" w:pos="708"/>
          <w:tab w:val="num" w:pos="950"/>
        </w:tabs>
        <w:jc w:val="both"/>
      </w:pPr>
      <w:r w:rsidRPr="006B5B23">
        <w:t>dlhodobý hmotný majetok</w:t>
      </w:r>
    </w:p>
    <w:p w:rsidR="006B5B23" w:rsidRPr="006B5B23" w:rsidRDefault="006B5B23" w:rsidP="006B5B23">
      <w:pPr>
        <w:numPr>
          <w:ilvl w:val="0"/>
          <w:numId w:val="16"/>
        </w:numPr>
        <w:tabs>
          <w:tab w:val="clear" w:pos="708"/>
          <w:tab w:val="num" w:pos="950"/>
        </w:tabs>
        <w:jc w:val="both"/>
      </w:pPr>
      <w:r w:rsidRPr="006B5B23">
        <w:t>dlhodobý finančný majetok</w:t>
      </w:r>
    </w:p>
    <w:p w:rsidR="006B5B23" w:rsidRPr="006B5B23" w:rsidRDefault="006B5B23" w:rsidP="006B5B23">
      <w:pPr>
        <w:numPr>
          <w:ilvl w:val="0"/>
          <w:numId w:val="16"/>
        </w:numPr>
        <w:tabs>
          <w:tab w:val="clear" w:pos="708"/>
          <w:tab w:val="num" w:pos="950"/>
        </w:tabs>
        <w:jc w:val="both"/>
      </w:pPr>
      <w:r w:rsidRPr="006B5B23">
        <w:t>dlhodobé pohľadávky</w:t>
      </w:r>
    </w:p>
    <w:p w:rsidR="006B5B23" w:rsidRPr="006B5B23" w:rsidRDefault="006B5B23" w:rsidP="006B5B23">
      <w:pPr>
        <w:numPr>
          <w:ilvl w:val="0"/>
          <w:numId w:val="17"/>
        </w:numPr>
        <w:tabs>
          <w:tab w:val="clear" w:pos="420"/>
          <w:tab w:val="num" w:pos="720"/>
        </w:tabs>
        <w:jc w:val="both"/>
      </w:pPr>
      <w:r w:rsidRPr="006B5B23">
        <w:t xml:space="preserve">Ako </w:t>
      </w:r>
      <w:r w:rsidRPr="006B5B23">
        <w:rPr>
          <w:b/>
        </w:rPr>
        <w:t>dlhodobý nehmotný majetok</w:t>
      </w:r>
      <w:r w:rsidRPr="006B5B23">
        <w:t xml:space="preserve"> sa účtujú v účtovej triede 0 - Dlhodobý majetok: </w:t>
      </w:r>
    </w:p>
    <w:p w:rsidR="006B5B23" w:rsidRPr="006B5B23" w:rsidRDefault="006B5B23" w:rsidP="006B5B23">
      <w:pPr>
        <w:numPr>
          <w:ilvl w:val="0"/>
          <w:numId w:val="7"/>
        </w:numPr>
        <w:tabs>
          <w:tab w:val="clear" w:pos="420"/>
          <w:tab w:val="num" w:pos="950"/>
        </w:tabs>
        <w:jc w:val="both"/>
      </w:pPr>
      <w:r w:rsidRPr="006B5B23">
        <w:t xml:space="preserve">aktivované náklady na vývoj, softvér, oceniteľné autorské práva, technické zhodnotenie, ak nie je súčasťou ocenenia dlhodobého nehmotného majetku, ktorých ocenenie je vyššie ako </w:t>
      </w:r>
      <w:r w:rsidRPr="006B5B23">
        <w:rPr>
          <w:b/>
        </w:rPr>
        <w:t xml:space="preserve">2 400 € </w:t>
      </w:r>
      <w:r w:rsidRPr="006B5B23">
        <w:t xml:space="preserve">(suma ustanovená osobitným predpisom pre nehmotný majetok - zákon o dani z príjmov) a doba použiteľnosti je dlhšia ako jeden rok, </w:t>
      </w:r>
    </w:p>
    <w:p w:rsidR="006B5B23" w:rsidRPr="006B5B23" w:rsidRDefault="006B5B23" w:rsidP="006B5B23">
      <w:pPr>
        <w:numPr>
          <w:ilvl w:val="0"/>
          <w:numId w:val="7"/>
        </w:numPr>
        <w:tabs>
          <w:tab w:val="clear" w:pos="420"/>
          <w:tab w:val="num" w:pos="950"/>
        </w:tabs>
        <w:jc w:val="both"/>
      </w:pPr>
      <w:r w:rsidRPr="006B5B23">
        <w:rPr>
          <w:b/>
        </w:rPr>
        <w:t>drobný dlhodobý nehmotný majetok</w:t>
      </w:r>
      <w:r w:rsidRPr="006B5B23">
        <w:t>, ktorého obstarávacia cena je od</w:t>
      </w:r>
      <w:r w:rsidRPr="006B5B23">
        <w:rPr>
          <w:b/>
        </w:rPr>
        <w:t xml:space="preserve"> 650 € do 2 400 €</w:t>
      </w:r>
      <w:r w:rsidRPr="006B5B23">
        <w:t xml:space="preserve"> a doba použiteľnosti je dlhšia ako jeden rok. Uvedený </w:t>
      </w:r>
      <w:r w:rsidRPr="006B5B23">
        <w:rPr>
          <w:b/>
        </w:rPr>
        <w:t>drobný dlhodobý nehmotný majetok</w:t>
      </w:r>
      <w:r w:rsidRPr="006B5B23">
        <w:t xml:space="preserve"> sa bude financovať z </w:t>
      </w:r>
      <w:r w:rsidRPr="006B5B23">
        <w:rPr>
          <w:b/>
        </w:rPr>
        <w:t>kapitálových výdavkov</w:t>
      </w:r>
      <w:r w:rsidRPr="006B5B23">
        <w:t>.</w:t>
      </w:r>
    </w:p>
    <w:p w:rsidR="006B5B23" w:rsidRPr="006B5B23" w:rsidRDefault="006B5B23" w:rsidP="006B5B23">
      <w:pPr>
        <w:numPr>
          <w:ilvl w:val="0"/>
          <w:numId w:val="17"/>
        </w:numPr>
        <w:tabs>
          <w:tab w:val="clear" w:pos="420"/>
          <w:tab w:val="num" w:pos="720"/>
        </w:tabs>
        <w:jc w:val="both"/>
      </w:pPr>
      <w:r w:rsidRPr="006B5B23">
        <w:t xml:space="preserve">Ako </w:t>
      </w:r>
      <w:r w:rsidRPr="006B5B23">
        <w:rPr>
          <w:b/>
        </w:rPr>
        <w:t>dlhodobý hmotný majetok</w:t>
      </w:r>
      <w:r w:rsidRPr="006B5B23">
        <w:t xml:space="preserve"> sa účtujú </w:t>
      </w:r>
    </w:p>
    <w:p w:rsidR="006B5B23" w:rsidRPr="006B5B23" w:rsidRDefault="006B5B23" w:rsidP="006B5B23">
      <w:pPr>
        <w:numPr>
          <w:ilvl w:val="0"/>
          <w:numId w:val="6"/>
        </w:numPr>
        <w:tabs>
          <w:tab w:val="clear" w:pos="708"/>
          <w:tab w:val="num" w:pos="950"/>
        </w:tabs>
        <w:jc w:val="both"/>
      </w:pPr>
      <w:r w:rsidRPr="006B5B23">
        <w:t>pozemky, stavby, byty a nebytové priestory, umelecké diela, zbierky, predmety z drahých kovov,</w:t>
      </w:r>
    </w:p>
    <w:p w:rsidR="006B5B23" w:rsidRPr="006B5B23" w:rsidRDefault="006B5B23" w:rsidP="006B5B23">
      <w:pPr>
        <w:numPr>
          <w:ilvl w:val="0"/>
          <w:numId w:val="6"/>
        </w:numPr>
        <w:tabs>
          <w:tab w:val="clear" w:pos="708"/>
          <w:tab w:val="num" w:pos="950"/>
        </w:tabs>
        <w:jc w:val="both"/>
      </w:pPr>
      <w:r w:rsidRPr="006B5B23">
        <w:t xml:space="preserve">samostatné hnuteľné veci s výnimkou hnuteľných vecí uvedených v písmene a) a súbory hnuteľných vecí, ktoré majú samostatné technicko-ekonomické určenie s dobou použiteľnosti dlhšou ako jeden rok, ktorých ocenenie je vyššie ako </w:t>
      </w:r>
      <w:r w:rsidRPr="006B5B23">
        <w:rPr>
          <w:b/>
        </w:rPr>
        <w:t>1 700 €</w:t>
      </w:r>
      <w:r w:rsidRPr="006B5B23">
        <w:t xml:space="preserve">, (suma ustanovená osobitným predpisom pre hmotný majetok - zákon o dani z príjmov) </w:t>
      </w:r>
    </w:p>
    <w:p w:rsidR="006B5B23" w:rsidRPr="006B5B23" w:rsidRDefault="006B5B23" w:rsidP="006B5B23">
      <w:pPr>
        <w:numPr>
          <w:ilvl w:val="0"/>
          <w:numId w:val="6"/>
        </w:numPr>
        <w:tabs>
          <w:tab w:val="clear" w:pos="708"/>
          <w:tab w:val="num" w:pos="950"/>
        </w:tabs>
        <w:jc w:val="both"/>
      </w:pPr>
      <w:r w:rsidRPr="006B5B23">
        <w:t>pestovateľské celky trvalých porastov s dobou plodnosti dlhšou ako tri roky,</w:t>
      </w:r>
    </w:p>
    <w:p w:rsidR="006B5B23" w:rsidRDefault="006B5B23" w:rsidP="006B5B23">
      <w:pPr>
        <w:numPr>
          <w:ilvl w:val="0"/>
          <w:numId w:val="6"/>
        </w:numPr>
        <w:tabs>
          <w:tab w:val="clear" w:pos="708"/>
          <w:tab w:val="num" w:pos="950"/>
        </w:tabs>
        <w:jc w:val="both"/>
      </w:pPr>
      <w:r w:rsidRPr="006B5B23">
        <w:t>základné stádo a ťažné zvieratá, bez ohľadu na ich obstarávaciu cenu,</w:t>
      </w:r>
    </w:p>
    <w:p w:rsidR="006B5B23" w:rsidRPr="006B5B23" w:rsidRDefault="006B5B23" w:rsidP="006B5B23">
      <w:pPr>
        <w:jc w:val="both"/>
      </w:pPr>
    </w:p>
    <w:p w:rsidR="006B5B23" w:rsidRPr="006B5B23" w:rsidRDefault="006B5B23" w:rsidP="006B5B23">
      <w:pPr>
        <w:numPr>
          <w:ilvl w:val="0"/>
          <w:numId w:val="6"/>
        </w:numPr>
        <w:tabs>
          <w:tab w:val="clear" w:pos="708"/>
          <w:tab w:val="num" w:pos="950"/>
        </w:tabs>
        <w:jc w:val="both"/>
      </w:pPr>
      <w:r w:rsidRPr="006B5B23">
        <w:lastRenderedPageBreak/>
        <w:t>otvárky nových lomov, pieskovní a hlinísk, technická rekultivácia a technické zhodnotenie, ak nie sú súčasťou obstarávacej ceny dlhodobého hmotného majetku; súčasťou technickej rekultivácie môžu byť len stavby, napríklad komunikácie, ktoré svojím charakterom, účelom a rozsahom slúžia na vykonanie technickej rekultivácie, pričom technická rekultivácia nie je dlhodobým hmotným majetkom, ak tak ustanovuje osobitný predpis.</w:t>
      </w:r>
    </w:p>
    <w:p w:rsidR="006B5B23" w:rsidRPr="006B5B23" w:rsidRDefault="006B5B23" w:rsidP="006B5B23">
      <w:pPr>
        <w:numPr>
          <w:ilvl w:val="0"/>
          <w:numId w:val="6"/>
        </w:numPr>
        <w:tabs>
          <w:tab w:val="clear" w:pos="708"/>
          <w:tab w:val="num" w:pos="950"/>
        </w:tabs>
        <w:jc w:val="both"/>
      </w:pPr>
      <w:r w:rsidRPr="006B5B23">
        <w:rPr>
          <w:b/>
        </w:rPr>
        <w:t>drobný dlhodobý hmotný majetok</w:t>
      </w:r>
      <w:r w:rsidRPr="006B5B23">
        <w:t>, ktorého obstarávacia cena je</w:t>
      </w:r>
      <w:r w:rsidRPr="006B5B23">
        <w:rPr>
          <w:b/>
        </w:rPr>
        <w:t xml:space="preserve"> </w:t>
      </w:r>
      <w:r w:rsidRPr="006B5B23">
        <w:t xml:space="preserve">od </w:t>
      </w:r>
      <w:r w:rsidRPr="006B5B23">
        <w:rPr>
          <w:b/>
        </w:rPr>
        <w:t>500 €</w:t>
      </w:r>
      <w:r w:rsidRPr="006B5B23">
        <w:t xml:space="preserve"> do </w:t>
      </w:r>
      <w:r w:rsidRPr="006B5B23">
        <w:rPr>
          <w:b/>
        </w:rPr>
        <w:t xml:space="preserve">1 700 € </w:t>
      </w:r>
      <w:r w:rsidRPr="006B5B23">
        <w:t xml:space="preserve">a prevádzkovo-technické funkcie sú dlhšie ako jeden rok. Uvedený </w:t>
      </w:r>
      <w:r w:rsidRPr="006B5B23">
        <w:rPr>
          <w:b/>
        </w:rPr>
        <w:t>drobný dlhodobý hmotný majetok</w:t>
      </w:r>
      <w:r w:rsidRPr="006B5B23">
        <w:t xml:space="preserve"> sa bude financovať z </w:t>
      </w:r>
      <w:r w:rsidRPr="006B5B23">
        <w:rPr>
          <w:b/>
        </w:rPr>
        <w:t>kapitálových výdavkov</w:t>
      </w:r>
      <w:r w:rsidRPr="006B5B23">
        <w:t>.</w:t>
      </w:r>
    </w:p>
    <w:p w:rsidR="006B5B23" w:rsidRPr="006B5B23" w:rsidRDefault="006B5B23" w:rsidP="006B5B23">
      <w:pPr>
        <w:numPr>
          <w:ilvl w:val="0"/>
          <w:numId w:val="6"/>
        </w:numPr>
        <w:tabs>
          <w:tab w:val="clear" w:pos="708"/>
          <w:tab w:val="num" w:pos="950"/>
        </w:tabs>
        <w:jc w:val="both"/>
      </w:pPr>
      <w:r w:rsidRPr="006B5B23">
        <w:t xml:space="preserve">Ako </w:t>
      </w:r>
      <w:r w:rsidRPr="006B5B23">
        <w:rPr>
          <w:b/>
        </w:rPr>
        <w:t>príslušenstvo</w:t>
      </w:r>
      <w:r w:rsidRPr="006B5B23">
        <w:t xml:space="preserve"> dlhodobého hmotného majetku sa účtujú predmety, ktoré tvoria s     hlavnou vecou jeden celok a sú súčasťou jeho ocenenia a evidencie. Príslušenstvo je     súčasťou dodávky hlavnej veci alebo ho možno k hlavnej veci priradiť dodatočne.</w:t>
      </w:r>
    </w:p>
    <w:p w:rsidR="006B5B23" w:rsidRPr="006B5B23" w:rsidRDefault="006B5B23" w:rsidP="006B5B23">
      <w:pPr>
        <w:numPr>
          <w:ilvl w:val="0"/>
          <w:numId w:val="17"/>
        </w:numPr>
        <w:tabs>
          <w:tab w:val="clear" w:pos="420"/>
          <w:tab w:val="num" w:pos="720"/>
        </w:tabs>
        <w:jc w:val="both"/>
      </w:pPr>
      <w:r w:rsidRPr="006B5B23">
        <w:t xml:space="preserve">Ako </w:t>
      </w:r>
      <w:r w:rsidRPr="006B5B23">
        <w:rPr>
          <w:b/>
        </w:rPr>
        <w:t>dlhodobý finančný majetok</w:t>
      </w:r>
      <w:r w:rsidRPr="006B5B23">
        <w:t xml:space="preserve"> sa účtujú najmä</w:t>
      </w:r>
    </w:p>
    <w:p w:rsidR="006B5B23" w:rsidRPr="006B5B23" w:rsidRDefault="006B5B23" w:rsidP="006B5B23">
      <w:pPr>
        <w:numPr>
          <w:ilvl w:val="0"/>
          <w:numId w:val="27"/>
        </w:numPr>
        <w:jc w:val="both"/>
      </w:pPr>
      <w:r w:rsidRPr="006B5B23">
        <w:t>cenné papiere a podiely v dcérskej účtovnej jednotke, cenné papiere a podiely spoločnosti s podstatným vplyvom a ostatné podielové cenné papiere a podiely,</w:t>
      </w:r>
    </w:p>
    <w:p w:rsidR="006B5B23" w:rsidRPr="006B5B23" w:rsidRDefault="006B5B23" w:rsidP="006B5B23">
      <w:pPr>
        <w:numPr>
          <w:ilvl w:val="0"/>
          <w:numId w:val="27"/>
        </w:numPr>
        <w:jc w:val="both"/>
      </w:pPr>
      <w:r w:rsidRPr="006B5B23">
        <w:t>pôžičky poskytnuté účtovnou jednotkou s dobou splatnosti alebo zostatkovou dobou splatnosti dlhšou ako jeden rok,</w:t>
      </w:r>
    </w:p>
    <w:p w:rsidR="006B5B23" w:rsidRPr="006B5B23" w:rsidRDefault="006B5B23" w:rsidP="006B5B23">
      <w:pPr>
        <w:numPr>
          <w:ilvl w:val="0"/>
          <w:numId w:val="27"/>
        </w:numPr>
        <w:jc w:val="both"/>
      </w:pPr>
      <w:r w:rsidRPr="006B5B23">
        <w:t>cenné papiere s pevným výnosom (ďalej len „dlhové cenné papiere“) napríklad obligácie, dlhopisy, vkladové listy,</w:t>
      </w:r>
    </w:p>
    <w:p w:rsidR="006B5B23" w:rsidRPr="006B5B23" w:rsidRDefault="006B5B23" w:rsidP="006B5B23">
      <w:pPr>
        <w:numPr>
          <w:ilvl w:val="0"/>
          <w:numId w:val="27"/>
        </w:numPr>
        <w:jc w:val="both"/>
      </w:pPr>
      <w:r w:rsidRPr="006B5B23">
        <w:t>umelecké diela, zbierky, predmety z drahých kovov, pozemky, ktoré sú obstarané za účelom dlhodobého uloženia voľných peňažných prostriedkov.</w:t>
      </w:r>
    </w:p>
    <w:p w:rsidR="006B5B23" w:rsidRPr="006B5B23" w:rsidRDefault="006B5B23" w:rsidP="006B5B23">
      <w:pPr>
        <w:numPr>
          <w:ilvl w:val="0"/>
          <w:numId w:val="17"/>
        </w:numPr>
        <w:tabs>
          <w:tab w:val="clear" w:pos="420"/>
          <w:tab w:val="num" w:pos="720"/>
        </w:tabs>
        <w:jc w:val="both"/>
      </w:pPr>
      <w:r w:rsidRPr="006B5B23">
        <w:rPr>
          <w:b/>
        </w:rPr>
        <w:t>Dlhodobé pohľadávky</w:t>
      </w:r>
      <w:r w:rsidRPr="006B5B23">
        <w:t xml:space="preserve"> sú pohľadávky s dohodnutou dobou splatnosti alebo zostatkovou dobou splatnosti dlhšou ako jeden rok.</w:t>
      </w:r>
    </w:p>
    <w:p w:rsidR="006B5B23" w:rsidRPr="006B5B23" w:rsidRDefault="006B5B23" w:rsidP="006B5B23">
      <w:pPr>
        <w:numPr>
          <w:ilvl w:val="0"/>
          <w:numId w:val="17"/>
        </w:numPr>
        <w:tabs>
          <w:tab w:val="clear" w:pos="420"/>
          <w:tab w:val="num" w:pos="720"/>
        </w:tabs>
        <w:jc w:val="both"/>
      </w:pPr>
      <w:r w:rsidRPr="006B5B23">
        <w:rPr>
          <w:b/>
        </w:rPr>
        <w:t>Ako dlhodobý majetok sa neúčtujú:</w:t>
      </w:r>
    </w:p>
    <w:p w:rsidR="006B5B23" w:rsidRPr="006B5B23" w:rsidRDefault="006B5B23" w:rsidP="006B5B23">
      <w:pPr>
        <w:numPr>
          <w:ilvl w:val="0"/>
          <w:numId w:val="1"/>
        </w:numPr>
        <w:tabs>
          <w:tab w:val="clear" w:pos="0"/>
          <w:tab w:val="num" w:pos="950"/>
        </w:tabs>
        <w:jc w:val="both"/>
      </w:pPr>
      <w:r w:rsidRPr="006B5B23">
        <w:rPr>
          <w:b/>
        </w:rPr>
        <w:t>drobný nehmotný majetok od 20 € do 650 €</w:t>
      </w:r>
      <w:r w:rsidRPr="006B5B23">
        <w:t>, ktorý podľa rozhodnutia účtovnej jednotky nie je dlhodobým nehmotným majetkom, a ktorý sa účtuje pri obstaraní</w:t>
      </w:r>
      <w:r w:rsidRPr="006B5B23">
        <w:rPr>
          <w:b/>
        </w:rPr>
        <w:t xml:space="preserve"> do nákladov na účet 518 - Ostatné služby. </w:t>
      </w:r>
      <w:r w:rsidRPr="006B5B23">
        <w:t xml:space="preserve">Uvedený </w:t>
      </w:r>
      <w:r w:rsidRPr="006B5B23">
        <w:rPr>
          <w:b/>
        </w:rPr>
        <w:t>drobný nehmotný majetok</w:t>
      </w:r>
      <w:r w:rsidRPr="006B5B23">
        <w:t xml:space="preserve"> sa bude financovať z </w:t>
      </w:r>
      <w:r w:rsidRPr="006B5B23">
        <w:rPr>
          <w:b/>
        </w:rPr>
        <w:t>bežných výdavkov</w:t>
      </w:r>
      <w:r w:rsidRPr="006B5B23">
        <w:t>.</w:t>
      </w:r>
    </w:p>
    <w:p w:rsidR="006B5B23" w:rsidRPr="006B5B23" w:rsidRDefault="006B5B23" w:rsidP="006B5B23">
      <w:pPr>
        <w:numPr>
          <w:ilvl w:val="0"/>
          <w:numId w:val="1"/>
        </w:numPr>
        <w:tabs>
          <w:tab w:val="clear" w:pos="0"/>
          <w:tab w:val="num" w:pos="950"/>
        </w:tabs>
        <w:jc w:val="both"/>
      </w:pPr>
      <w:r w:rsidRPr="006B5B23">
        <w:rPr>
          <w:b/>
        </w:rPr>
        <w:t>drobný hmotný majetok  od 20 € do 500 €</w:t>
      </w:r>
      <w:r w:rsidRPr="006B5B23">
        <w:t xml:space="preserve">, ktorý podľa rozhodnutia účtovnej jednotky nie je dlhodobým hmotným majetkom, a ktorý sa účtuje </w:t>
      </w:r>
      <w:r w:rsidRPr="006B5B23">
        <w:rPr>
          <w:b/>
        </w:rPr>
        <w:t>ako zásoby</w:t>
      </w:r>
      <w:r w:rsidRPr="006B5B23">
        <w:t xml:space="preserve">.  Uvedený </w:t>
      </w:r>
      <w:r w:rsidRPr="006B5B23">
        <w:rPr>
          <w:b/>
        </w:rPr>
        <w:t>drobný hmotný majetok</w:t>
      </w:r>
      <w:r w:rsidRPr="006B5B23">
        <w:t xml:space="preserve"> sa bude financovať z </w:t>
      </w:r>
      <w:r w:rsidRPr="006B5B23">
        <w:rPr>
          <w:b/>
        </w:rPr>
        <w:t>bežných výdavkov</w:t>
      </w:r>
      <w:r w:rsidRPr="006B5B23">
        <w:t>.</w:t>
      </w:r>
    </w:p>
    <w:p w:rsidR="006B5B23" w:rsidRPr="006B5B23" w:rsidRDefault="006B5B23" w:rsidP="006B5B23">
      <w:pPr>
        <w:numPr>
          <w:ilvl w:val="0"/>
          <w:numId w:val="17"/>
        </w:numPr>
        <w:tabs>
          <w:tab w:val="clear" w:pos="420"/>
          <w:tab w:val="num" w:pos="720"/>
        </w:tabs>
        <w:jc w:val="both"/>
      </w:pPr>
      <w:r w:rsidRPr="006B5B23">
        <w:t xml:space="preserve">Ako </w:t>
      </w:r>
      <w:r w:rsidRPr="006B5B23">
        <w:rPr>
          <w:b/>
        </w:rPr>
        <w:t>technické zhodnotenie</w:t>
      </w:r>
      <w:r w:rsidRPr="006B5B23">
        <w:t xml:space="preserve"> </w:t>
      </w:r>
      <w:r w:rsidRPr="006B5B23">
        <w:rPr>
          <w:b/>
        </w:rPr>
        <w:t>sa účtuje:</w:t>
      </w:r>
    </w:p>
    <w:p w:rsidR="006B5B23" w:rsidRPr="006B5B23" w:rsidRDefault="006B5B23" w:rsidP="006B5B23">
      <w:pPr>
        <w:numPr>
          <w:ilvl w:val="0"/>
          <w:numId w:val="13"/>
        </w:numPr>
        <w:tabs>
          <w:tab w:val="clear" w:pos="420"/>
          <w:tab w:val="num" w:pos="950"/>
        </w:tabs>
        <w:jc w:val="both"/>
      </w:pPr>
      <w:r w:rsidRPr="006B5B23">
        <w:t xml:space="preserve">DNM a DHM zvýšený o náklady na dokončené technické zhodnotenie, ak náklady v úhrne za účtovné obdobie sú vyššie ako suma </w:t>
      </w:r>
      <w:r w:rsidRPr="006B5B23">
        <w:rPr>
          <w:b/>
        </w:rPr>
        <w:t>1 700 €</w:t>
      </w:r>
      <w:r w:rsidRPr="006B5B23">
        <w:t xml:space="preserve"> a technické zhodnotenie je v tomto účtovnom období uvedené do užívania. Takéto technické zhodnotenie sa bude financovať </w:t>
      </w:r>
      <w:r w:rsidRPr="006B5B23">
        <w:rPr>
          <w:b/>
        </w:rPr>
        <w:t xml:space="preserve">z  kapitálových výdavkov. </w:t>
      </w:r>
      <w:r w:rsidRPr="006B5B23">
        <w:t xml:space="preserve"> </w:t>
      </w:r>
    </w:p>
    <w:p w:rsidR="006B5B23" w:rsidRPr="006B5B23" w:rsidRDefault="006B5B23" w:rsidP="006B5B23">
      <w:pPr>
        <w:numPr>
          <w:ilvl w:val="0"/>
          <w:numId w:val="13"/>
        </w:numPr>
        <w:tabs>
          <w:tab w:val="clear" w:pos="420"/>
          <w:tab w:val="num" w:pos="950"/>
        </w:tabs>
        <w:jc w:val="both"/>
      </w:pPr>
      <w:r w:rsidRPr="006B5B23">
        <w:t>DNM a DHM zvýšený o náklady na dokončené technické zhodnotenie ak náklady v úhrne za účtovné obdobie sú</w:t>
      </w:r>
      <w:r w:rsidRPr="006B5B23">
        <w:rPr>
          <w:b/>
        </w:rPr>
        <w:t xml:space="preserve"> </w:t>
      </w:r>
      <w:r w:rsidRPr="006B5B23">
        <w:t xml:space="preserve">od </w:t>
      </w:r>
      <w:r w:rsidRPr="006B5B23">
        <w:rPr>
          <w:b/>
        </w:rPr>
        <w:t>500 €</w:t>
      </w:r>
      <w:r w:rsidRPr="006B5B23">
        <w:t xml:space="preserve"> do </w:t>
      </w:r>
      <w:r w:rsidRPr="006B5B23">
        <w:rPr>
          <w:b/>
        </w:rPr>
        <w:t xml:space="preserve">1 700 € </w:t>
      </w:r>
      <w:r w:rsidRPr="006B5B23">
        <w:t xml:space="preserve"> a technické zhodnotenie je v tomto účtovnom období uvedené do užívania. Takéto technické zhodnotenie sa bude financovať </w:t>
      </w:r>
      <w:r w:rsidRPr="006B5B23">
        <w:rPr>
          <w:b/>
        </w:rPr>
        <w:t xml:space="preserve">z  kapitálových výdavkov. </w:t>
      </w:r>
      <w:r w:rsidRPr="006B5B23">
        <w:t xml:space="preserve"> </w:t>
      </w:r>
    </w:p>
    <w:p w:rsidR="006B5B23" w:rsidRPr="006B5B23" w:rsidRDefault="006B5B23" w:rsidP="006B5B23">
      <w:pPr>
        <w:numPr>
          <w:ilvl w:val="0"/>
          <w:numId w:val="17"/>
        </w:numPr>
        <w:tabs>
          <w:tab w:val="clear" w:pos="420"/>
          <w:tab w:val="num" w:pos="720"/>
        </w:tabs>
        <w:jc w:val="both"/>
      </w:pPr>
      <w:r w:rsidRPr="006B5B23">
        <w:t xml:space="preserve">Ako </w:t>
      </w:r>
      <w:r w:rsidRPr="006B5B23">
        <w:rPr>
          <w:b/>
        </w:rPr>
        <w:t>technické zhodnotenie</w:t>
      </w:r>
      <w:r w:rsidRPr="006B5B23">
        <w:t xml:space="preserve"> </w:t>
      </w:r>
      <w:r w:rsidRPr="006B5B23">
        <w:rPr>
          <w:b/>
        </w:rPr>
        <w:t>sa neúčtuje:</w:t>
      </w:r>
    </w:p>
    <w:p w:rsidR="006B5B23" w:rsidRPr="006B5B23" w:rsidRDefault="006B5B23" w:rsidP="006B5B23">
      <w:pPr>
        <w:numPr>
          <w:ilvl w:val="0"/>
          <w:numId w:val="19"/>
        </w:numPr>
        <w:jc w:val="both"/>
      </w:pPr>
      <w:r w:rsidRPr="006B5B23">
        <w:t xml:space="preserve">DNM a DHM zvýšený o náklady, ak náklady v úhrne za účtovné obdobie sú </w:t>
      </w:r>
      <w:r w:rsidRPr="006B5B23">
        <w:rPr>
          <w:b/>
        </w:rPr>
        <w:t xml:space="preserve"> </w:t>
      </w:r>
      <w:r w:rsidRPr="006B5B23">
        <w:t xml:space="preserve">do </w:t>
      </w:r>
      <w:r w:rsidRPr="006B5B23">
        <w:rPr>
          <w:b/>
        </w:rPr>
        <w:t>500 €.</w:t>
      </w:r>
      <w:r w:rsidRPr="006B5B23">
        <w:t xml:space="preserve"> Takéto náklady sa budú financovať </w:t>
      </w:r>
      <w:r w:rsidRPr="006B5B23">
        <w:rPr>
          <w:b/>
        </w:rPr>
        <w:t xml:space="preserve">z  bežných výdavkov. </w:t>
      </w:r>
      <w:r w:rsidRPr="006B5B23">
        <w:t xml:space="preserve"> </w:t>
      </w:r>
    </w:p>
    <w:p w:rsidR="006B5B23" w:rsidRPr="006B5B23" w:rsidRDefault="006B5B23" w:rsidP="006B5B23">
      <w:pPr>
        <w:jc w:val="both"/>
      </w:pPr>
      <w:r w:rsidRPr="006B5B23">
        <w:rPr>
          <w:b/>
        </w:rPr>
        <w:lastRenderedPageBreak/>
        <w:t>Článok 2</w:t>
      </w:r>
    </w:p>
    <w:p w:rsidR="006B5B23" w:rsidRPr="006B5B23" w:rsidRDefault="006B5B23" w:rsidP="006B5B23">
      <w:pPr>
        <w:jc w:val="both"/>
      </w:pPr>
      <w:r w:rsidRPr="006B5B23">
        <w:rPr>
          <w:b/>
        </w:rPr>
        <w:t>Oceňovanie majetku</w:t>
      </w:r>
    </w:p>
    <w:p w:rsidR="006B5B23" w:rsidRPr="006B5B23" w:rsidRDefault="006B5B23" w:rsidP="006B5B23">
      <w:pPr>
        <w:numPr>
          <w:ilvl w:val="0"/>
          <w:numId w:val="20"/>
        </w:numPr>
        <w:jc w:val="both"/>
      </w:pPr>
      <w:r w:rsidRPr="006B5B23">
        <w:t>Na účely zákona o účtovníctve (§25 a § 27, ods.2) sa rozumie:</w:t>
      </w:r>
    </w:p>
    <w:p w:rsidR="006B5B23" w:rsidRPr="006B5B23" w:rsidRDefault="006B5B23" w:rsidP="006B5B23">
      <w:pPr>
        <w:numPr>
          <w:ilvl w:val="0"/>
          <w:numId w:val="25"/>
        </w:numPr>
        <w:jc w:val="both"/>
      </w:pPr>
      <w:r w:rsidRPr="006B5B23">
        <w:rPr>
          <w:b/>
        </w:rPr>
        <w:t>obstarávacou cenou</w:t>
      </w:r>
      <w:r w:rsidRPr="006B5B23">
        <w:t xml:space="preserve"> cena, za ktorú sa majetok obstaral a náklady súvisiace s jeho obstaraním obstarávacej ceny,  a všetky zníženia tejto</w:t>
      </w:r>
    </w:p>
    <w:p w:rsidR="006B5B23" w:rsidRPr="006B5B23" w:rsidRDefault="006B5B23" w:rsidP="006B5B23">
      <w:pPr>
        <w:numPr>
          <w:ilvl w:val="0"/>
          <w:numId w:val="25"/>
        </w:numPr>
        <w:jc w:val="both"/>
      </w:pPr>
      <w:r w:rsidRPr="006B5B23">
        <w:rPr>
          <w:b/>
        </w:rPr>
        <w:t xml:space="preserve">vlastnými nákladmi </w:t>
      </w:r>
      <w:r w:rsidRPr="006B5B23">
        <w:t xml:space="preserve">- priame náklady vynaložené na výrobu alebo inú činnosť a nepriame náklady, ktoré sa vzťahujú na výrobu alebo inú činnosť </w:t>
      </w:r>
    </w:p>
    <w:p w:rsidR="006B5B23" w:rsidRPr="006B5B23" w:rsidRDefault="006B5B23" w:rsidP="006B5B23">
      <w:pPr>
        <w:numPr>
          <w:ilvl w:val="0"/>
          <w:numId w:val="25"/>
        </w:numPr>
        <w:jc w:val="both"/>
      </w:pPr>
      <w:r w:rsidRPr="006B5B23">
        <w:rPr>
          <w:b/>
        </w:rPr>
        <w:t>menovitou hodnotou</w:t>
      </w:r>
      <w:r w:rsidRPr="006B5B23">
        <w:t xml:space="preserve"> cena, ktorá je uvedená na peňažných prostriedkoch a ceninách, alebo suma, na ktorú pohľadávka alebo záväzok znie.  </w:t>
      </w:r>
    </w:p>
    <w:p w:rsidR="006B5B23" w:rsidRPr="006B5B23" w:rsidRDefault="006B5B23" w:rsidP="006B5B23">
      <w:pPr>
        <w:numPr>
          <w:ilvl w:val="0"/>
          <w:numId w:val="25"/>
        </w:numPr>
        <w:jc w:val="both"/>
      </w:pPr>
      <w:r w:rsidRPr="006B5B23">
        <w:rPr>
          <w:b/>
        </w:rPr>
        <w:t>reálnou hodnotou</w:t>
      </w:r>
      <w:r w:rsidRPr="006B5B23">
        <w:t>:</w:t>
      </w:r>
    </w:p>
    <w:p w:rsidR="006B5B23" w:rsidRPr="006B5B23" w:rsidRDefault="006B5B23" w:rsidP="006B5B23">
      <w:pPr>
        <w:numPr>
          <w:ilvl w:val="0"/>
          <w:numId w:val="10"/>
        </w:numPr>
        <w:tabs>
          <w:tab w:val="clear" w:pos="708"/>
          <w:tab w:val="num" w:pos="1630"/>
        </w:tabs>
        <w:jc w:val="both"/>
      </w:pPr>
      <w:r w:rsidRPr="006B5B23">
        <w:rPr>
          <w:bCs/>
        </w:rPr>
        <w:t>trhová cena</w:t>
      </w:r>
    </w:p>
    <w:p w:rsidR="006B5B23" w:rsidRPr="006B5B23" w:rsidRDefault="006B5B23" w:rsidP="006B5B23">
      <w:pPr>
        <w:numPr>
          <w:ilvl w:val="0"/>
          <w:numId w:val="10"/>
        </w:numPr>
        <w:tabs>
          <w:tab w:val="clear" w:pos="708"/>
          <w:tab w:val="num" w:pos="1630"/>
        </w:tabs>
        <w:jc w:val="both"/>
      </w:pPr>
      <w:r w:rsidRPr="006B5B23">
        <w:t xml:space="preserve">hodnota zistená oceňovacím modelom, ktorý využíva prevažne informácie z operácií alebo z </w:t>
      </w:r>
      <w:proofErr w:type="spellStart"/>
      <w:r w:rsidRPr="006B5B23">
        <w:t>kotácií</w:t>
      </w:r>
      <w:proofErr w:type="spellEnd"/>
      <w:r w:rsidRPr="006B5B23">
        <w:t xml:space="preserve"> na aktívnom trhu, ak nie je cena podľa písmena a) známa,</w:t>
      </w:r>
    </w:p>
    <w:p w:rsidR="006B5B23" w:rsidRPr="006B5B23" w:rsidRDefault="006B5B23" w:rsidP="006B5B23">
      <w:pPr>
        <w:numPr>
          <w:ilvl w:val="0"/>
          <w:numId w:val="10"/>
        </w:numPr>
        <w:tabs>
          <w:tab w:val="clear" w:pos="708"/>
          <w:tab w:val="num" w:pos="1630"/>
        </w:tabs>
        <w:jc w:val="both"/>
      </w:pPr>
      <w:r w:rsidRPr="006B5B23">
        <w:t xml:space="preserve">hodnota zistená oceňovacím modelom, ktorý využíva prevažne informácie z operácií alebo z </w:t>
      </w:r>
      <w:proofErr w:type="spellStart"/>
      <w:r w:rsidRPr="006B5B23">
        <w:t>kotácií</w:t>
      </w:r>
      <w:proofErr w:type="spellEnd"/>
      <w:r w:rsidRPr="006B5B23">
        <w:t xml:space="preserve"> na inom ako aktívnom trhu, ak nie sú na aktívnom trhu informácie, ktoré by bolo možné použiť v oceňovacom modeli podľa písmena b), alebo</w:t>
      </w:r>
    </w:p>
    <w:p w:rsidR="006B5B23" w:rsidRPr="006B5B23" w:rsidRDefault="006B5B23" w:rsidP="006B5B23">
      <w:pPr>
        <w:numPr>
          <w:ilvl w:val="0"/>
          <w:numId w:val="10"/>
        </w:numPr>
        <w:tabs>
          <w:tab w:val="clear" w:pos="708"/>
          <w:tab w:val="num" w:pos="1630"/>
        </w:tabs>
        <w:jc w:val="both"/>
      </w:pPr>
      <w:r w:rsidRPr="006B5B23">
        <w:t>posudok znalca, ak pre oceňovanú položku majetku nie je možné zistiť jeho reálnu hodnotu podľa písmen a) až c), alebo pre oceňovanú položku majetku nie je dostupný oceňovací model odhadujúci s postačujúcou spoľahlivosťou cenu majetku, za ktorú by sa v danom čase predal, alebo jeho použitie by vyžadovalo od účtovnej jednotky vynaloženie neprimeraného úsilia alebo nákladov v pomere s prínosom jeho použitia pre kvalitu zobrazenia finančnej pozície účtovnej jednotky v účtovnej závierke.</w:t>
      </w:r>
    </w:p>
    <w:p w:rsidR="006B5B23" w:rsidRPr="006B5B23" w:rsidRDefault="006B5B23" w:rsidP="006B5B23">
      <w:pPr>
        <w:numPr>
          <w:ilvl w:val="0"/>
          <w:numId w:val="20"/>
        </w:numPr>
        <w:jc w:val="both"/>
      </w:pPr>
      <w:r w:rsidRPr="006B5B23">
        <w:rPr>
          <w:b/>
        </w:rPr>
        <w:t>Dlhodobý majetok a jeho technické zhodnotenie</w:t>
      </w:r>
      <w:r w:rsidRPr="006B5B23">
        <w:t xml:space="preserve"> sa oceňuje podľa § 25 zákona:</w:t>
      </w:r>
    </w:p>
    <w:p w:rsidR="006B5B23" w:rsidRPr="006B5B23" w:rsidRDefault="006B5B23" w:rsidP="006B5B23">
      <w:pPr>
        <w:numPr>
          <w:ilvl w:val="0"/>
          <w:numId w:val="5"/>
        </w:numPr>
        <w:tabs>
          <w:tab w:val="clear" w:pos="420"/>
          <w:tab w:val="num" w:pos="950"/>
        </w:tabs>
        <w:jc w:val="both"/>
      </w:pPr>
      <w:r w:rsidRPr="006B5B23">
        <w:t xml:space="preserve">obstarávacou cenou </w:t>
      </w:r>
    </w:p>
    <w:p w:rsidR="006B5B23" w:rsidRPr="006B5B23" w:rsidRDefault="006B5B23" w:rsidP="006B5B23">
      <w:pPr>
        <w:numPr>
          <w:ilvl w:val="0"/>
          <w:numId w:val="5"/>
        </w:numPr>
        <w:tabs>
          <w:tab w:val="clear" w:pos="420"/>
          <w:tab w:val="num" w:pos="950"/>
        </w:tabs>
        <w:jc w:val="both"/>
      </w:pPr>
      <w:r w:rsidRPr="006B5B23">
        <w:t>vlastnými nákladmi</w:t>
      </w:r>
    </w:p>
    <w:p w:rsidR="006B5B23" w:rsidRPr="006B5B23" w:rsidRDefault="006B5B23" w:rsidP="006B5B23">
      <w:pPr>
        <w:numPr>
          <w:ilvl w:val="0"/>
          <w:numId w:val="5"/>
        </w:numPr>
        <w:tabs>
          <w:tab w:val="clear" w:pos="420"/>
          <w:tab w:val="num" w:pos="950"/>
        </w:tabs>
        <w:jc w:val="both"/>
      </w:pPr>
      <w:r w:rsidRPr="006B5B23">
        <w:t xml:space="preserve">reálnou hodnotou </w:t>
      </w:r>
    </w:p>
    <w:p w:rsidR="006B5B23" w:rsidRPr="006B5B23" w:rsidRDefault="006B5B23" w:rsidP="006B5B23">
      <w:pPr>
        <w:numPr>
          <w:ilvl w:val="0"/>
          <w:numId w:val="20"/>
        </w:numPr>
        <w:jc w:val="both"/>
      </w:pPr>
      <w:r w:rsidRPr="006B5B23">
        <w:rPr>
          <w:b/>
        </w:rPr>
        <w:t>Ocenenie</w:t>
      </w:r>
      <w:r w:rsidRPr="006B5B23">
        <w:t xml:space="preserve"> jednotlivého dlhodobého nehmotného majetku a dlhodobého hmotného majetku sa zvýši o náklady na dokončené technické zhodnotenie, ak náklady v úhrne za účtovné obdobie sú   vyššie  ako  suma  uvedená  v  osobitnom  predpise a  technické   hodnotenie  je v tomto účtovnom období  uvedené do  užívania. Náklady neprevyšujúce  uvedenú  sumu  sa  môžu  účtovať ako </w:t>
      </w:r>
    </w:p>
    <w:p w:rsidR="006B5B23" w:rsidRPr="006B5B23" w:rsidRDefault="006B5B23" w:rsidP="006B5B23">
      <w:pPr>
        <w:numPr>
          <w:ilvl w:val="0"/>
          <w:numId w:val="8"/>
        </w:numPr>
        <w:tabs>
          <w:tab w:val="clear" w:pos="708"/>
          <w:tab w:val="num" w:pos="950"/>
        </w:tabs>
        <w:jc w:val="both"/>
      </w:pPr>
      <w:r w:rsidRPr="006B5B23">
        <w:t>technické zhodnotenie</w:t>
      </w:r>
    </w:p>
    <w:p w:rsidR="006B5B23" w:rsidRPr="006B5B23" w:rsidRDefault="006B5B23" w:rsidP="006B5B23">
      <w:pPr>
        <w:numPr>
          <w:ilvl w:val="0"/>
          <w:numId w:val="8"/>
        </w:numPr>
        <w:tabs>
          <w:tab w:val="clear" w:pos="708"/>
          <w:tab w:val="num" w:pos="950"/>
        </w:tabs>
        <w:jc w:val="both"/>
      </w:pPr>
      <w:r w:rsidRPr="006B5B23">
        <w:t>služby, ak ide o dlhodobý nehmotný majetok,</w:t>
      </w:r>
    </w:p>
    <w:p w:rsidR="006B5B23" w:rsidRPr="006B5B23" w:rsidRDefault="006B5B23" w:rsidP="006B5B23">
      <w:pPr>
        <w:numPr>
          <w:ilvl w:val="0"/>
          <w:numId w:val="8"/>
        </w:numPr>
        <w:tabs>
          <w:tab w:val="clear" w:pos="708"/>
          <w:tab w:val="num" w:pos="950"/>
        </w:tabs>
        <w:jc w:val="both"/>
      </w:pPr>
      <w:r w:rsidRPr="006B5B23">
        <w:t>náklady, ak ide o dlhodobý hmotný majetok.</w:t>
      </w:r>
    </w:p>
    <w:p w:rsidR="006B5B23" w:rsidRPr="006B5B23" w:rsidRDefault="006B5B23" w:rsidP="006B5B23">
      <w:pPr>
        <w:numPr>
          <w:ilvl w:val="0"/>
          <w:numId w:val="20"/>
        </w:numPr>
        <w:jc w:val="both"/>
      </w:pPr>
      <w:r w:rsidRPr="006B5B23">
        <w:t>Ocenenie súboru hnuteľného majetku sa zvyšuje o obstarávaciu cenu vecí dodatočne     zaradených do súboru hnuteľného majetku.</w:t>
      </w:r>
    </w:p>
    <w:p w:rsidR="006B5B23" w:rsidRPr="006B5B23" w:rsidRDefault="006B5B23" w:rsidP="006B5B23">
      <w:pPr>
        <w:numPr>
          <w:ilvl w:val="0"/>
          <w:numId w:val="20"/>
        </w:numPr>
        <w:jc w:val="both"/>
      </w:pPr>
      <w:r w:rsidRPr="006B5B23">
        <w:lastRenderedPageBreak/>
        <w:t xml:space="preserve">Dlhodobý majetok nadobudnutý bezodplatným prevodom pri splynutí, zlúčení, rozdelení      alebo pri  prevode správy sa oceňuje cenou, v ktorej sa doteraz viedol v účtovníctve. Ak cenu nie je možné zistiť, oceňuje sa reálnou hodnotou. </w:t>
      </w:r>
    </w:p>
    <w:p w:rsidR="006B5B23" w:rsidRPr="006B5B23" w:rsidRDefault="006B5B23" w:rsidP="006B5B23">
      <w:pPr>
        <w:numPr>
          <w:ilvl w:val="0"/>
          <w:numId w:val="20"/>
        </w:numPr>
        <w:jc w:val="both"/>
      </w:pPr>
      <w:r w:rsidRPr="006B5B23">
        <w:t xml:space="preserve">Pri účtovaní </w:t>
      </w:r>
      <w:r w:rsidRPr="006B5B23">
        <w:rPr>
          <w:b/>
        </w:rPr>
        <w:t xml:space="preserve">zámeny </w:t>
      </w:r>
      <w:r w:rsidRPr="006B5B23">
        <w:t xml:space="preserve">dlhodobého majetku sa primerane postupuje ako pri účtovaní kúpy a predaja. Rozdiel medzi </w:t>
      </w:r>
      <w:r w:rsidRPr="006B5B23">
        <w:rPr>
          <w:b/>
        </w:rPr>
        <w:t>reálnou hodnotou</w:t>
      </w:r>
      <w:r w:rsidRPr="006B5B23">
        <w:t xml:space="preserve"> nadobudnutého dlhodobého majetku a účtovnou hodnotou odovzdávaného majetku sa účtuje podľa charakteru tohto rozdielu na vecne príslušný nákladový účet, na ktorom sa účtuje úbytok majetku alebo na vecne príslušný výnosový účet, na ktorom sa účtuje  dosiahnutie výnosu z tohto majetku.</w:t>
      </w:r>
    </w:p>
    <w:p w:rsidR="006B5B23" w:rsidRPr="006B5B23" w:rsidRDefault="006B5B23" w:rsidP="006B5B23">
      <w:pPr>
        <w:numPr>
          <w:ilvl w:val="0"/>
          <w:numId w:val="20"/>
        </w:numPr>
        <w:jc w:val="both"/>
      </w:pPr>
      <w:r w:rsidRPr="006B5B23">
        <w:t xml:space="preserve">Finančný majetok sa oceňuje podľa § 25 zákona: </w:t>
      </w:r>
    </w:p>
    <w:p w:rsidR="006B5B23" w:rsidRPr="006B5B23" w:rsidRDefault="006B5B23" w:rsidP="006B5B23">
      <w:pPr>
        <w:numPr>
          <w:ilvl w:val="0"/>
          <w:numId w:val="14"/>
        </w:numPr>
        <w:tabs>
          <w:tab w:val="clear" w:pos="420"/>
          <w:tab w:val="num" w:pos="950"/>
        </w:tabs>
        <w:jc w:val="both"/>
      </w:pPr>
      <w:r w:rsidRPr="006B5B23">
        <w:t xml:space="preserve">obstarávacou cenou </w:t>
      </w:r>
    </w:p>
    <w:p w:rsidR="006B5B23" w:rsidRPr="006B5B23" w:rsidRDefault="006B5B23" w:rsidP="006B5B23">
      <w:pPr>
        <w:numPr>
          <w:ilvl w:val="0"/>
          <w:numId w:val="14"/>
        </w:numPr>
        <w:tabs>
          <w:tab w:val="clear" w:pos="420"/>
          <w:tab w:val="num" w:pos="950"/>
        </w:tabs>
        <w:jc w:val="both"/>
      </w:pPr>
      <w:r w:rsidRPr="006B5B23">
        <w:t xml:space="preserve">reálnou cenou, v prípade bezodplatného nadobudnutia </w:t>
      </w:r>
    </w:p>
    <w:p w:rsidR="006B5B23" w:rsidRPr="006B5B23" w:rsidRDefault="006B5B23" w:rsidP="006B5B23">
      <w:pPr>
        <w:numPr>
          <w:ilvl w:val="0"/>
          <w:numId w:val="20"/>
        </w:numPr>
        <w:jc w:val="both"/>
      </w:pPr>
      <w:r w:rsidRPr="006B5B23">
        <w:t>Zásoby sa oceňujú podľa § 25 a § 26 zákona:</w:t>
      </w:r>
    </w:p>
    <w:p w:rsidR="006B5B23" w:rsidRPr="006B5B23" w:rsidRDefault="006B5B23" w:rsidP="006B5B23">
      <w:pPr>
        <w:numPr>
          <w:ilvl w:val="0"/>
          <w:numId w:val="3"/>
        </w:numPr>
        <w:tabs>
          <w:tab w:val="clear" w:pos="708"/>
          <w:tab w:val="num" w:pos="950"/>
        </w:tabs>
        <w:jc w:val="both"/>
      </w:pPr>
      <w:r w:rsidRPr="006B5B23">
        <w:t>obstarávacou cenou</w:t>
      </w:r>
    </w:p>
    <w:p w:rsidR="006B5B23" w:rsidRPr="006B5B23" w:rsidRDefault="006B5B23" w:rsidP="006B5B23">
      <w:pPr>
        <w:numPr>
          <w:ilvl w:val="0"/>
          <w:numId w:val="3"/>
        </w:numPr>
        <w:tabs>
          <w:tab w:val="clear" w:pos="708"/>
          <w:tab w:val="num" w:pos="950"/>
        </w:tabs>
        <w:jc w:val="both"/>
      </w:pPr>
      <w:r w:rsidRPr="006B5B23">
        <w:t>reálnou cenou</w:t>
      </w:r>
    </w:p>
    <w:p w:rsidR="006B5B23" w:rsidRPr="006B5B23" w:rsidRDefault="006B5B23" w:rsidP="006B5B23">
      <w:pPr>
        <w:numPr>
          <w:ilvl w:val="0"/>
          <w:numId w:val="3"/>
        </w:numPr>
        <w:tabs>
          <w:tab w:val="clear" w:pos="708"/>
          <w:tab w:val="num" w:pos="950"/>
        </w:tabs>
        <w:jc w:val="both"/>
      </w:pPr>
      <w:r w:rsidRPr="006B5B23">
        <w:t>vlastnými nákladmi</w:t>
      </w:r>
    </w:p>
    <w:p w:rsidR="006B5B23" w:rsidRDefault="006B5B23" w:rsidP="006B5B23">
      <w:pPr>
        <w:jc w:val="both"/>
        <w:rPr>
          <w:b/>
        </w:rPr>
      </w:pPr>
    </w:p>
    <w:p w:rsidR="006B5B23" w:rsidRPr="006B5B23" w:rsidRDefault="006B5B23" w:rsidP="006B5B23">
      <w:pPr>
        <w:jc w:val="both"/>
      </w:pPr>
      <w:r w:rsidRPr="006B5B23">
        <w:rPr>
          <w:b/>
        </w:rPr>
        <w:t>Článok 3</w:t>
      </w:r>
    </w:p>
    <w:p w:rsidR="006B5B23" w:rsidRPr="006B5B23" w:rsidRDefault="006B5B23" w:rsidP="006B5B23">
      <w:pPr>
        <w:jc w:val="both"/>
      </w:pPr>
      <w:r w:rsidRPr="006B5B23">
        <w:rPr>
          <w:b/>
        </w:rPr>
        <w:t>Obstaranie a evidencia majetku</w:t>
      </w:r>
    </w:p>
    <w:p w:rsidR="006B5B23" w:rsidRPr="006B5B23" w:rsidRDefault="006B5B23" w:rsidP="006B5B23">
      <w:pPr>
        <w:numPr>
          <w:ilvl w:val="0"/>
          <w:numId w:val="9"/>
        </w:numPr>
        <w:jc w:val="both"/>
      </w:pPr>
      <w:r w:rsidRPr="006B5B23">
        <w:t>Dlhodobým nehmotným majetkom a dlhodobým hmotným majetkom sú na účely účtovania majetok a technické zhodnotenie podľa § 25 ods. 2 písm. c)</w:t>
      </w:r>
      <w:r w:rsidRPr="006B5B23">
        <w:rPr>
          <w:b/>
          <w:bCs/>
        </w:rPr>
        <w:t xml:space="preserve"> </w:t>
      </w:r>
      <w:r w:rsidRPr="006B5B23">
        <w:t>uvedené do užívania. Uvedením do užívania sa rozumie zabezpečenie všetkých technických funkcií tohto majetku potrebných na jeho užívanie a splnenie povinností podľa osobitných predpisov.</w:t>
      </w:r>
      <w:r w:rsidRPr="006B5B23">
        <w:rPr>
          <w:vertAlign w:val="superscript"/>
        </w:rPr>
        <w:t xml:space="preserve"> </w:t>
      </w:r>
      <w:r w:rsidRPr="006B5B23">
        <w:t>Uvedením do užívania sa rozumie aj vydanie povolenia na predčasné užívanie stavby alebo rozhodnutia o dočasnom užívaní stavby na skúšobnú prevádzku.</w:t>
      </w:r>
    </w:p>
    <w:p w:rsidR="006B5B23" w:rsidRPr="006B5B23" w:rsidRDefault="006B5B23" w:rsidP="006B5B23">
      <w:pPr>
        <w:numPr>
          <w:ilvl w:val="0"/>
          <w:numId w:val="9"/>
        </w:numPr>
        <w:jc w:val="both"/>
      </w:pPr>
      <w:r w:rsidRPr="006B5B23">
        <w:rPr>
          <w:b/>
        </w:rPr>
        <w:t>Na účte 041</w:t>
      </w:r>
      <w:r w:rsidRPr="006B5B23">
        <w:t xml:space="preserve"> - Obstaranie dlhodobého nehmotného majetku </w:t>
      </w:r>
      <w:r w:rsidRPr="006B5B23">
        <w:rPr>
          <w:b/>
        </w:rPr>
        <w:t xml:space="preserve">sa účtuje </w:t>
      </w:r>
      <w:r w:rsidRPr="006B5B23">
        <w:t xml:space="preserve">obstaraný dlhodobý nehmotný majetok do času jeho uvedenia do používania vrátane nákladov súvisiacich s jeho obstaraním. Súčasťou nákladov súvisiacich s obstaraním nie sú úroky a kurzové rozdiely. </w:t>
      </w:r>
    </w:p>
    <w:p w:rsidR="006B5B23" w:rsidRPr="006B5B23" w:rsidRDefault="006B5B23" w:rsidP="006B5B23">
      <w:pPr>
        <w:numPr>
          <w:ilvl w:val="0"/>
          <w:numId w:val="9"/>
        </w:numPr>
        <w:jc w:val="both"/>
      </w:pPr>
      <w:r w:rsidRPr="006B5B23">
        <w:rPr>
          <w:b/>
        </w:rPr>
        <w:t xml:space="preserve">Na účte 042 </w:t>
      </w:r>
      <w:r w:rsidRPr="006B5B23">
        <w:t xml:space="preserve">- Obstaranie dlhodobého hmotného majetku </w:t>
      </w:r>
      <w:r w:rsidRPr="006B5B23">
        <w:rPr>
          <w:b/>
        </w:rPr>
        <w:t>sa účtuje</w:t>
      </w:r>
      <w:r w:rsidRPr="006B5B23">
        <w:t xml:space="preserve"> obstarávaný dlhodobý hmotný majetok a jeho technické zhodnotenie do času jeho uvedenia do používania vrátane nákladov súvisiacich s jeho obstaraním, najmä na </w:t>
      </w:r>
    </w:p>
    <w:p w:rsidR="006B5B23" w:rsidRPr="006B5B23" w:rsidRDefault="006B5B23" w:rsidP="006B5B23">
      <w:pPr>
        <w:numPr>
          <w:ilvl w:val="0"/>
          <w:numId w:val="11"/>
        </w:numPr>
        <w:tabs>
          <w:tab w:val="clear" w:pos="420"/>
          <w:tab w:val="num" w:pos="950"/>
        </w:tabs>
        <w:jc w:val="both"/>
      </w:pPr>
      <w:r w:rsidRPr="006B5B23">
        <w:t>prípravu a zabezpečenie obstarania dlhodobého hmotného majetku, napríklad odvody za dočasné odňatie poľnohospodárskej pôdy z poľnohospodárskeho pôdneho fondu, výdavky (náklady) na poskytnutie záruk v súvislosti s obstaraním, a to do času uvedenia dlhodobého majetku do používania,</w:t>
      </w:r>
    </w:p>
    <w:p w:rsidR="006B5B23" w:rsidRPr="006B5B23" w:rsidRDefault="006B5B23" w:rsidP="006B5B23">
      <w:pPr>
        <w:numPr>
          <w:ilvl w:val="0"/>
          <w:numId w:val="11"/>
        </w:numPr>
        <w:tabs>
          <w:tab w:val="clear" w:pos="420"/>
          <w:tab w:val="num" w:pos="950"/>
        </w:tabs>
        <w:jc w:val="both"/>
      </w:pPr>
      <w:r w:rsidRPr="006B5B23">
        <w:t>prieskumné, geologické, geodetické a projektové práce vrátane viacerých navrhovaných riešení, umelecké diela tvoriace súčasť stavebných projektov, náhrady na odstránenie ekonomickej ujmy poľnohospodárskych organizácií, odvody za trvalé odňatie poľnohospodárskej pôdy z poľnohospodárskeho pôdneho fondu, odvody za dočasné odňatie poľnohospodárskej pôdy z poľnohospodárskeho pôdneho fondu pre zriadenie staveniska, otvárky nových lomov, pieskovní a hlinísk, technickú rekultiváciu, technické zhodnotenie, dopravné, montážne práce a clo,</w:t>
      </w:r>
    </w:p>
    <w:p w:rsidR="006B5B23" w:rsidRPr="006B5B23" w:rsidRDefault="006B5B23" w:rsidP="006B5B23">
      <w:pPr>
        <w:numPr>
          <w:ilvl w:val="0"/>
          <w:numId w:val="11"/>
        </w:numPr>
        <w:tabs>
          <w:tab w:val="clear" w:pos="420"/>
          <w:tab w:val="num" w:pos="950"/>
        </w:tabs>
        <w:jc w:val="both"/>
      </w:pPr>
      <w:r w:rsidRPr="006B5B23">
        <w:lastRenderedPageBreak/>
        <w:t>zabezpečovacie a konzervačné práce alebo udržiavacie a </w:t>
      </w:r>
      <w:proofErr w:type="spellStart"/>
      <w:r w:rsidRPr="006B5B23">
        <w:t>dekonzervačné</w:t>
      </w:r>
      <w:proofErr w:type="spellEnd"/>
      <w:r w:rsidRPr="006B5B23">
        <w:t xml:space="preserve"> práce, ak sa zastavia práce na obstarávaní dlhodobého hmotného majetku,</w:t>
      </w:r>
    </w:p>
    <w:p w:rsidR="006B5B23" w:rsidRPr="006B5B23" w:rsidRDefault="006B5B23" w:rsidP="006B5B23">
      <w:pPr>
        <w:numPr>
          <w:ilvl w:val="0"/>
          <w:numId w:val="11"/>
        </w:numPr>
        <w:tabs>
          <w:tab w:val="clear" w:pos="420"/>
          <w:tab w:val="num" w:pos="950"/>
        </w:tabs>
        <w:jc w:val="both"/>
      </w:pPr>
      <w:r w:rsidRPr="006B5B23">
        <w:t>náhrady za nútené obmedzenie užívania nehnuteľností a náhrady majetkovej ujmy poskytované vlastníkovi nehnuteľnosti podľa osobitných predpisov a platby za ekologickú ujmu v súvislosti s výstavbou,</w:t>
      </w:r>
    </w:p>
    <w:p w:rsidR="006B5B23" w:rsidRPr="006B5B23" w:rsidRDefault="006B5B23" w:rsidP="006B5B23">
      <w:pPr>
        <w:numPr>
          <w:ilvl w:val="0"/>
          <w:numId w:val="11"/>
        </w:numPr>
        <w:tabs>
          <w:tab w:val="clear" w:pos="420"/>
          <w:tab w:val="num" w:pos="950"/>
        </w:tabs>
        <w:jc w:val="both"/>
      </w:pPr>
      <w:r w:rsidRPr="006B5B23">
        <w:t>úhradu nákladov účelne vynaložených na pripojenie a zabezpečenie požadovaného príkonu alebo požadovanej dodávky plynu, tepla a vody, ako aj úhrada vlastníkovi rozvodného zariadenia za preložku rozvodného zariadenia,</w:t>
      </w:r>
    </w:p>
    <w:p w:rsidR="006B5B23" w:rsidRPr="006B5B23" w:rsidRDefault="006B5B23" w:rsidP="006B5B23">
      <w:pPr>
        <w:numPr>
          <w:ilvl w:val="0"/>
          <w:numId w:val="11"/>
        </w:numPr>
        <w:tabs>
          <w:tab w:val="clear" w:pos="420"/>
          <w:tab w:val="num" w:pos="950"/>
        </w:tabs>
        <w:jc w:val="both"/>
      </w:pPr>
      <w:r w:rsidRPr="006B5B23">
        <w:t>skúšky, ktorými zhotoviteľ preukazuje riadne vykonanie diela; ak pri skúškach vzniknú použiteľné výrobky alebo výkony, ktoré podľa zmluvy patria objednávateľovi, znížia sa o výnosy z týchto výrobkov alebo výkonov náklady na obstaranie dlhodobého hmotného majetku,</w:t>
      </w:r>
    </w:p>
    <w:p w:rsidR="006B5B23" w:rsidRPr="006B5B23" w:rsidRDefault="006B5B23" w:rsidP="006B5B23">
      <w:pPr>
        <w:numPr>
          <w:ilvl w:val="0"/>
          <w:numId w:val="11"/>
        </w:numPr>
        <w:tabs>
          <w:tab w:val="clear" w:pos="420"/>
          <w:tab w:val="num" w:pos="950"/>
        </w:tabs>
        <w:jc w:val="both"/>
      </w:pPr>
      <w:r w:rsidRPr="006B5B23">
        <w:t>vyvolanú investíciu, ktorou sa rozumie obstaranie majetku alebo služby, ktoré nebude účtovná jednotka používať, ale ktoré jej vznikli podľa osobitného predpisu alebo zo zmluvy v súvislosti s obstaraním dlhodobého majetku.</w:t>
      </w:r>
    </w:p>
    <w:p w:rsidR="006B5B23" w:rsidRPr="006B5B23" w:rsidRDefault="006B5B23" w:rsidP="006B5B23">
      <w:pPr>
        <w:numPr>
          <w:ilvl w:val="0"/>
          <w:numId w:val="9"/>
        </w:numPr>
        <w:jc w:val="both"/>
      </w:pPr>
      <w:r w:rsidRPr="006B5B23">
        <w:rPr>
          <w:b/>
        </w:rPr>
        <w:t>Na účte 042</w:t>
      </w:r>
      <w:r w:rsidRPr="006B5B23">
        <w:t xml:space="preserve"> - Obstaranie dlhodobého hmotného majetku </w:t>
      </w:r>
      <w:r w:rsidRPr="006B5B23">
        <w:rPr>
          <w:b/>
        </w:rPr>
        <w:t>sa neúčtujú</w:t>
      </w:r>
      <w:r w:rsidRPr="006B5B23">
        <w:t xml:space="preserve"> náklady, ktoré nie sú súčasťou obstarávacej ceny dlhodobého hmotného majetku, ale sú súčasťou prevádzkových nákladov, a to</w:t>
      </w:r>
    </w:p>
    <w:p w:rsidR="006B5B23" w:rsidRPr="006B5B23" w:rsidRDefault="006B5B23" w:rsidP="006B5B23">
      <w:pPr>
        <w:numPr>
          <w:ilvl w:val="0"/>
          <w:numId w:val="29"/>
        </w:numPr>
        <w:jc w:val="both"/>
      </w:pPr>
      <w:r w:rsidRPr="006B5B23">
        <w:t>úroky z úverov a  kurzové rozdiely,</w:t>
      </w:r>
    </w:p>
    <w:p w:rsidR="006B5B23" w:rsidRPr="006B5B23" w:rsidRDefault="006B5B23" w:rsidP="006B5B23">
      <w:pPr>
        <w:numPr>
          <w:ilvl w:val="0"/>
          <w:numId w:val="29"/>
        </w:numPr>
        <w:jc w:val="both"/>
      </w:pPr>
      <w:r w:rsidRPr="006B5B23">
        <w:t>penále, pokuty, poplatky, úroky z omeškania alebo iné zmluvné sankcie a peňažné náhrady škôd súvisiace s obstarávaním dlhodobého hmotného majetku,</w:t>
      </w:r>
    </w:p>
    <w:p w:rsidR="006B5B23" w:rsidRPr="006B5B23" w:rsidRDefault="006B5B23" w:rsidP="006B5B23">
      <w:pPr>
        <w:numPr>
          <w:ilvl w:val="0"/>
          <w:numId w:val="29"/>
        </w:numPr>
        <w:jc w:val="both"/>
      </w:pPr>
      <w:r w:rsidRPr="006B5B23">
        <w:t>náklady na prípravu zamestnancov pre budované prevádzky a zariadenia,</w:t>
      </w:r>
    </w:p>
    <w:p w:rsidR="006B5B23" w:rsidRPr="006B5B23" w:rsidRDefault="006B5B23" w:rsidP="006B5B23">
      <w:pPr>
        <w:numPr>
          <w:ilvl w:val="0"/>
          <w:numId w:val="29"/>
        </w:numPr>
        <w:jc w:val="both"/>
      </w:pPr>
      <w:r w:rsidRPr="006B5B23">
        <w:t>náklady na vybavenie obstarávaného dlhodobého majetku zásobami,</w:t>
      </w:r>
    </w:p>
    <w:p w:rsidR="006B5B23" w:rsidRPr="006B5B23" w:rsidRDefault="006B5B23" w:rsidP="006B5B23">
      <w:pPr>
        <w:numPr>
          <w:ilvl w:val="0"/>
          <w:numId w:val="29"/>
        </w:numPr>
        <w:jc w:val="both"/>
      </w:pPr>
      <w:r w:rsidRPr="006B5B23">
        <w:t>náklady na biologickú rekultiváciu,</w:t>
      </w:r>
    </w:p>
    <w:p w:rsidR="006B5B23" w:rsidRPr="006B5B23" w:rsidRDefault="006B5B23" w:rsidP="006B5B23">
      <w:pPr>
        <w:numPr>
          <w:ilvl w:val="0"/>
          <w:numId w:val="29"/>
        </w:numPr>
        <w:jc w:val="both"/>
      </w:pPr>
      <w:r w:rsidRPr="006B5B23">
        <w:t>náklady súvisiace s prípravou a zabezpečením výstavby, ktoré vznikli po uvedení obstarávaného hmotného majetku do používania,</w:t>
      </w:r>
    </w:p>
    <w:p w:rsidR="006B5B23" w:rsidRPr="006B5B23" w:rsidRDefault="006B5B23" w:rsidP="006B5B23">
      <w:pPr>
        <w:numPr>
          <w:ilvl w:val="0"/>
          <w:numId w:val="29"/>
        </w:numPr>
        <w:jc w:val="both"/>
      </w:pPr>
      <w:r w:rsidRPr="006B5B23">
        <w:t>náklady</w:t>
      </w:r>
      <w:r w:rsidRPr="006B5B23">
        <w:rPr>
          <w:b/>
        </w:rPr>
        <w:t xml:space="preserve"> na opravy a udržiavanie</w:t>
      </w:r>
      <w:r w:rsidRPr="006B5B23">
        <w:t xml:space="preserve"> dlhodobého hmotného majetku, pričom opravami sa odstraňuje čiastočné fyzické opotrebovanie alebo poškodenie za účelom uvedenia do predchádzajúceho alebo prevádzkyschopného stavu a uvedením do prevádzkyschopného stavu sa rozumie vykonanie opravy aj s použitím iných než pôvodných materiálov, náhradných dielcov, súčastí alebo technológií, ak nedôjde k zmene technických parametrov alebo zvýšeniu výkonností majetku a ani k zmene účelu použitia; udržiavaním sa spomaľuje fyzické opotrebovanie, predchádza jeho následkom a odstraňujú sa drobnejšie </w:t>
      </w:r>
      <w:proofErr w:type="spellStart"/>
      <w:r w:rsidRPr="006B5B23">
        <w:t>závady</w:t>
      </w:r>
      <w:proofErr w:type="spellEnd"/>
      <w:r w:rsidRPr="006B5B23">
        <w:t>.</w:t>
      </w:r>
    </w:p>
    <w:p w:rsidR="006B5B23" w:rsidRPr="006B5B23" w:rsidRDefault="006B5B23" w:rsidP="006B5B23">
      <w:pPr>
        <w:numPr>
          <w:ilvl w:val="0"/>
          <w:numId w:val="9"/>
        </w:numPr>
        <w:jc w:val="both"/>
      </w:pPr>
      <w:r w:rsidRPr="006B5B23">
        <w:rPr>
          <w:b/>
        </w:rPr>
        <w:t>Na účte 042</w:t>
      </w:r>
      <w:r w:rsidRPr="006B5B23">
        <w:t xml:space="preserve"> - Obstaranie dlhodobého hmotného majetku sa účtujú aj náklady vynaložené na technické zhodnotenie dlhodobého hmotného majetku, ktorý má účtovná jednotka v nájme alebo bude mať v nájme na základe písomnej zmluvy a toto technické zhodnotenie sa bude odpisovať. V účtovníctve vlastníka prenajatého dlhodobého hmotného majetku sa v takomto prípade neúčtujú náklady na technické zhodnotenie a tieto náklady nezvyšujú obstarávaciu cenu dlhodobého hmotného majetku. </w:t>
      </w:r>
    </w:p>
    <w:p w:rsidR="006B5B23" w:rsidRPr="006B5B23" w:rsidRDefault="006B5B23" w:rsidP="006B5B23">
      <w:pPr>
        <w:numPr>
          <w:ilvl w:val="0"/>
          <w:numId w:val="9"/>
        </w:numPr>
        <w:jc w:val="both"/>
      </w:pPr>
      <w:r w:rsidRPr="006B5B23">
        <w:rPr>
          <w:b/>
        </w:rPr>
        <w:t>Na účte 042</w:t>
      </w:r>
      <w:r w:rsidRPr="006B5B23">
        <w:t xml:space="preserve"> – Obstaranie dlhodobého hmotného majetku sa účtuje aj </w:t>
      </w:r>
      <w:r w:rsidRPr="006B5B23">
        <w:rPr>
          <w:b/>
        </w:rPr>
        <w:t>hnuteľný</w:t>
      </w:r>
      <w:r w:rsidRPr="006B5B23">
        <w:t xml:space="preserve"> dlhodobý hmotný majetok obstaraný na účely jeho predaja, na ktorom sa bude vykonávať technické zhodnotenie, a toto technické zhodnotenie.</w:t>
      </w:r>
    </w:p>
    <w:p w:rsidR="006B5B23" w:rsidRPr="006B5B23" w:rsidRDefault="006B5B23" w:rsidP="006B5B23">
      <w:pPr>
        <w:numPr>
          <w:ilvl w:val="0"/>
          <w:numId w:val="9"/>
        </w:numPr>
        <w:jc w:val="both"/>
      </w:pPr>
      <w:r w:rsidRPr="006B5B23">
        <w:rPr>
          <w:b/>
        </w:rPr>
        <w:lastRenderedPageBreak/>
        <w:t>Analytická evidencia</w:t>
      </w:r>
      <w:r w:rsidRPr="006B5B23">
        <w:t xml:space="preserve"> sa vedie podľa jednotlivých položiek majetku v registri dlhodobého majetku. V analytickej evidencii sa dlhodobý majetok sleduje podľa:</w:t>
      </w:r>
    </w:p>
    <w:p w:rsidR="006B5B23" w:rsidRPr="006B5B23" w:rsidRDefault="006B5B23" w:rsidP="006B5B23">
      <w:pPr>
        <w:numPr>
          <w:ilvl w:val="0"/>
          <w:numId w:val="2"/>
        </w:numPr>
        <w:tabs>
          <w:tab w:val="clear" w:pos="708"/>
          <w:tab w:val="num" w:pos="950"/>
        </w:tabs>
        <w:jc w:val="both"/>
      </w:pPr>
      <w:r w:rsidRPr="006B5B23">
        <w:t>subjektov, od ktorých bol obstaraný alebo</w:t>
      </w:r>
    </w:p>
    <w:p w:rsidR="006B5B23" w:rsidRPr="006B5B23" w:rsidRDefault="006B5B23" w:rsidP="006B5B23">
      <w:pPr>
        <w:numPr>
          <w:ilvl w:val="0"/>
          <w:numId w:val="2"/>
        </w:numPr>
        <w:tabs>
          <w:tab w:val="clear" w:pos="708"/>
          <w:tab w:val="num" w:pos="950"/>
        </w:tabs>
        <w:jc w:val="both"/>
      </w:pPr>
      <w:r w:rsidRPr="006B5B23">
        <w:t>zdrojov financovania alebo</w:t>
      </w:r>
    </w:p>
    <w:p w:rsidR="006B5B23" w:rsidRPr="006B5B23" w:rsidRDefault="006B5B23" w:rsidP="006B5B23">
      <w:pPr>
        <w:numPr>
          <w:ilvl w:val="0"/>
          <w:numId w:val="2"/>
        </w:numPr>
        <w:tabs>
          <w:tab w:val="clear" w:pos="708"/>
          <w:tab w:val="num" w:pos="950"/>
        </w:tabs>
        <w:jc w:val="both"/>
      </w:pPr>
      <w:r w:rsidRPr="006B5B23">
        <w:t>miesta, kde je umiestnený.</w:t>
      </w:r>
    </w:p>
    <w:p w:rsidR="006B5B23" w:rsidRPr="006B5B23" w:rsidRDefault="006B5B23" w:rsidP="006B5B23">
      <w:pPr>
        <w:numPr>
          <w:ilvl w:val="0"/>
          <w:numId w:val="9"/>
        </w:numPr>
        <w:jc w:val="both"/>
      </w:pPr>
      <w:r w:rsidRPr="006B5B23">
        <w:t>Vedením analytickej evidencie je poverený zamestnanec, ktorý zodpovedá za evidenciu a     oceňovanie majetku.</w:t>
      </w:r>
    </w:p>
    <w:p w:rsidR="006B5B23" w:rsidRPr="006B5B23" w:rsidRDefault="006B5B23" w:rsidP="006B5B23">
      <w:pPr>
        <w:numPr>
          <w:ilvl w:val="0"/>
          <w:numId w:val="9"/>
        </w:numPr>
        <w:jc w:val="both"/>
      </w:pPr>
      <w:r w:rsidRPr="006B5B23">
        <w:t>Majetok v analytickej evidencii je vedený v jednotkách množstva a v peňažných jednotkách.</w:t>
      </w:r>
    </w:p>
    <w:p w:rsidR="006B5B23" w:rsidRPr="006B5B23" w:rsidRDefault="006B5B23" w:rsidP="006B5B23">
      <w:pPr>
        <w:numPr>
          <w:ilvl w:val="0"/>
          <w:numId w:val="9"/>
        </w:numPr>
        <w:jc w:val="both"/>
      </w:pPr>
      <w:r w:rsidRPr="006B5B23">
        <w:rPr>
          <w:b/>
        </w:rPr>
        <w:t>Prvotným dokladom</w:t>
      </w:r>
      <w:r w:rsidRPr="006B5B23">
        <w:t xml:space="preserve"> na zaradenie dlhodobého majetku do analytickej evidencie je:</w:t>
      </w:r>
    </w:p>
    <w:p w:rsidR="006B5B23" w:rsidRPr="006B5B23" w:rsidRDefault="006B5B23" w:rsidP="006B5B23">
      <w:pPr>
        <w:numPr>
          <w:ilvl w:val="0"/>
          <w:numId w:val="18"/>
        </w:numPr>
        <w:tabs>
          <w:tab w:val="clear" w:pos="708"/>
          <w:tab w:val="left" w:pos="709"/>
          <w:tab w:val="num" w:pos="950"/>
        </w:tabs>
        <w:jc w:val="both"/>
      </w:pPr>
      <w:r w:rsidRPr="006B5B23">
        <w:t>dokument o obstaraní majetku (kúpna zmluva, darovacia zmluva, delimitačný protokol, protokol o prevode správy, dodávateľská faktúra ... )</w:t>
      </w:r>
    </w:p>
    <w:p w:rsidR="006B5B23" w:rsidRPr="006B5B23" w:rsidRDefault="006B5B23" w:rsidP="006B5B23">
      <w:pPr>
        <w:numPr>
          <w:ilvl w:val="0"/>
          <w:numId w:val="18"/>
        </w:numPr>
        <w:tabs>
          <w:tab w:val="clear" w:pos="708"/>
          <w:tab w:val="left" w:pos="709"/>
          <w:tab w:val="num" w:pos="950"/>
        </w:tabs>
        <w:jc w:val="both"/>
      </w:pPr>
      <w:r w:rsidRPr="006B5B23">
        <w:t>protokol o zaradení dlhodobého majetku do používania</w:t>
      </w:r>
    </w:p>
    <w:p w:rsidR="006B5B23" w:rsidRPr="006B5B23" w:rsidRDefault="006B5B23" w:rsidP="006B5B23">
      <w:pPr>
        <w:numPr>
          <w:ilvl w:val="0"/>
          <w:numId w:val="9"/>
        </w:numPr>
        <w:jc w:val="both"/>
      </w:pPr>
      <w:r w:rsidRPr="006B5B23">
        <w:t xml:space="preserve">Zamestnanec poverený vedením analytickej evidencie majetku overí vecnú a číselnú správnosť dokumentov podľa odseku 9 </w:t>
      </w:r>
      <w:proofErr w:type="spellStart"/>
      <w:r w:rsidRPr="006B5B23">
        <w:t>písm.a</w:t>
      </w:r>
      <w:proofErr w:type="spellEnd"/>
      <w:r w:rsidRPr="006B5B23">
        <w:t xml:space="preserve">). Po rozhodnutí účtovnej jednotky  o zaradení majetku do používania, vystaví poverený zamestnanec ku každému nadobudnutému majetku protokol o zaradení majetku do používania, pridelí mu inventárne číslo a zaeviduje ho v majetkovej evidencii. </w:t>
      </w:r>
    </w:p>
    <w:p w:rsidR="006B5B23" w:rsidRPr="006B5B23" w:rsidRDefault="006B5B23" w:rsidP="006B5B23">
      <w:pPr>
        <w:numPr>
          <w:ilvl w:val="0"/>
          <w:numId w:val="9"/>
        </w:numPr>
        <w:jc w:val="both"/>
      </w:pPr>
      <w:r w:rsidRPr="006B5B23">
        <w:t>Ak sa nehnuteľnosť obstaráva na základe zmluvy a do nadobudnutia vlastníctva povolením vkladu do katastra nehnuteľností nadobúdateľ nehnuteľnosť užíva, dňom uskutočnenia účtovného prípadu je deň prevzatia nehnuteľnosti nadobúdateľom; u prevádzajúceho je dňom uskutočnenia účtovného prípadu deň odovzdania nehnuteľnosti. Ak nebude vklad do katastra nehnuteľností povolený, účtovné zápisy sa zrušia.</w:t>
      </w:r>
    </w:p>
    <w:p w:rsidR="006B5B23" w:rsidRPr="006B5B23" w:rsidRDefault="006B5B23" w:rsidP="006B5B23">
      <w:pPr>
        <w:numPr>
          <w:ilvl w:val="0"/>
          <w:numId w:val="9"/>
        </w:numPr>
        <w:jc w:val="both"/>
      </w:pPr>
      <w:r w:rsidRPr="006B5B23">
        <w:rPr>
          <w:b/>
        </w:rPr>
        <w:t>Analytická evidencia dlhodobého majetku obsahuje:</w:t>
      </w:r>
    </w:p>
    <w:p w:rsidR="006B5B23" w:rsidRPr="006B5B23" w:rsidRDefault="006B5B23" w:rsidP="006B5B23">
      <w:pPr>
        <w:numPr>
          <w:ilvl w:val="0"/>
          <w:numId w:val="31"/>
        </w:numPr>
        <w:jc w:val="both"/>
      </w:pPr>
      <w:r w:rsidRPr="006B5B23">
        <w:rPr>
          <w:b/>
        </w:rPr>
        <w:t>inventárne karty majetku</w:t>
      </w:r>
      <w:r w:rsidRPr="006B5B23">
        <w:t xml:space="preserve"> (obsahujú: názov alebo opis majetku, číselné označenie, dátum jeho obstarania a uvedenia do užívania, dátum zaúčtovania na účtoch účtovej skupiny 01, 02, 03; ocenenie, údaje o zvolenom postupe odpisovania, sadzby odpisov, sumy odpisov za účtovné obdobie, vecné bremeno, záložné právo; transfer, z ktorého bol dlhodobý majetok obstaraný; zostatkovú cenu, dátum a spôsob vyradenia ...) </w:t>
      </w:r>
    </w:p>
    <w:p w:rsidR="006B5B23" w:rsidRPr="006B5B23" w:rsidRDefault="006B5B23" w:rsidP="006B5B23">
      <w:pPr>
        <w:numPr>
          <w:ilvl w:val="0"/>
          <w:numId w:val="31"/>
        </w:numPr>
        <w:jc w:val="both"/>
      </w:pPr>
      <w:r w:rsidRPr="006B5B23">
        <w:rPr>
          <w:b/>
        </w:rPr>
        <w:t>inventárne karty majetku</w:t>
      </w:r>
      <w:r w:rsidRPr="006B5B23">
        <w:t xml:space="preserve"> - pri súbore hnuteľných vecí a majetku, ktorého súčasťou je aj </w:t>
      </w:r>
      <w:r w:rsidRPr="006B5B23">
        <w:rPr>
          <w:u w:val="single"/>
        </w:rPr>
        <w:t>príslušenstvo</w:t>
      </w:r>
      <w:r w:rsidRPr="006B5B23">
        <w:t>, sa jednotlivé časti súboru a jednotlivé kusy majetku zaznamenávajú v analytickej evidencii vo fyzickom a hodnotovom vyjadrení. Ak sa k súboru hnuteľných vecí priradí ďalšia vec a k majetku sa priradí príslušenstvo alebo naopak vyradí, zaznamenáva sa v analytickej evidencii aj dátum priradenia alebo vyradenia.</w:t>
      </w:r>
    </w:p>
    <w:p w:rsidR="006B5B23" w:rsidRPr="006B5B23" w:rsidRDefault="006B5B23" w:rsidP="006B5B23">
      <w:pPr>
        <w:numPr>
          <w:ilvl w:val="0"/>
          <w:numId w:val="31"/>
        </w:numPr>
        <w:jc w:val="both"/>
      </w:pPr>
      <w:r w:rsidRPr="006B5B23">
        <w:rPr>
          <w:b/>
        </w:rPr>
        <w:t>protokol o zaradení</w:t>
      </w:r>
      <w:r w:rsidRPr="006B5B23">
        <w:t xml:space="preserve"> dlhodobého majetku do používania (obsahuje: názov alebo opis majetku, dátum jeho obstarania a uvedenia do užívania ...)  </w:t>
      </w:r>
    </w:p>
    <w:p w:rsidR="006B5B23" w:rsidRPr="006B5B23" w:rsidRDefault="006B5B23" w:rsidP="006B5B23">
      <w:pPr>
        <w:numPr>
          <w:ilvl w:val="0"/>
          <w:numId w:val="31"/>
        </w:numPr>
        <w:jc w:val="both"/>
      </w:pPr>
      <w:r w:rsidRPr="006B5B23">
        <w:rPr>
          <w:b/>
        </w:rPr>
        <w:t>dokumenty o obstaraní</w:t>
      </w:r>
      <w:r w:rsidRPr="006B5B23">
        <w:t xml:space="preserve"> majetku (kúpna zmluva, darovacia zmluva, delimitačný protokol, protokol o zverení do správy, dodávateľská faktúra ...)</w:t>
      </w:r>
    </w:p>
    <w:p w:rsidR="006B5B23" w:rsidRPr="006B5B23" w:rsidRDefault="006B5B23" w:rsidP="006B5B23">
      <w:pPr>
        <w:numPr>
          <w:ilvl w:val="0"/>
          <w:numId w:val="31"/>
        </w:numPr>
        <w:jc w:val="both"/>
      </w:pPr>
      <w:r w:rsidRPr="006B5B23">
        <w:rPr>
          <w:b/>
        </w:rPr>
        <w:t>odpisový plán</w:t>
      </w:r>
      <w:r w:rsidRPr="006B5B23">
        <w:t xml:space="preserve"> (obsahuje: údaje o zvolenom postupe odpisovania, sadzby odpisov, sumy odpisov za účtovné obdobie ...)</w:t>
      </w:r>
    </w:p>
    <w:p w:rsidR="006B5B23" w:rsidRPr="006B5B23" w:rsidRDefault="006B5B23" w:rsidP="006B5B23">
      <w:pPr>
        <w:numPr>
          <w:ilvl w:val="0"/>
          <w:numId w:val="31"/>
        </w:numPr>
        <w:jc w:val="both"/>
      </w:pPr>
      <w:r w:rsidRPr="006B5B23">
        <w:rPr>
          <w:b/>
        </w:rPr>
        <w:lastRenderedPageBreak/>
        <w:t xml:space="preserve">ostatné dokumenty </w:t>
      </w:r>
      <w:r w:rsidRPr="006B5B23">
        <w:t>(uznesenia zastupiteľstva, listy vlastníctva ...)</w:t>
      </w:r>
    </w:p>
    <w:p w:rsidR="006B5B23" w:rsidRPr="006B5B23" w:rsidRDefault="006B5B23" w:rsidP="006B5B23">
      <w:pPr>
        <w:numPr>
          <w:ilvl w:val="0"/>
          <w:numId w:val="31"/>
        </w:numPr>
        <w:jc w:val="both"/>
      </w:pPr>
      <w:r w:rsidRPr="006B5B23">
        <w:rPr>
          <w:b/>
        </w:rPr>
        <w:t>protokol o vyradení</w:t>
      </w:r>
      <w:r w:rsidRPr="006B5B23">
        <w:t xml:space="preserve"> dlhodobého majetku  (obsahuje: zostatkovú cenu, dátum a spôsob vyradenia ...)</w:t>
      </w:r>
    </w:p>
    <w:p w:rsidR="006B5B23" w:rsidRPr="006B5B23" w:rsidRDefault="006B5B23" w:rsidP="006B5B23">
      <w:pPr>
        <w:numPr>
          <w:ilvl w:val="0"/>
          <w:numId w:val="9"/>
        </w:numPr>
        <w:jc w:val="both"/>
      </w:pPr>
      <w:r w:rsidRPr="006B5B23">
        <w:rPr>
          <w:b/>
        </w:rPr>
        <w:t>Operatívna evidencia drobného majetku od 20 € do 500 € obsahuje:</w:t>
      </w:r>
    </w:p>
    <w:p w:rsidR="006B5B23" w:rsidRPr="006B5B23" w:rsidRDefault="006B5B23" w:rsidP="006B5B23">
      <w:pPr>
        <w:numPr>
          <w:ilvl w:val="0"/>
          <w:numId w:val="15"/>
        </w:numPr>
        <w:tabs>
          <w:tab w:val="clear" w:pos="420"/>
          <w:tab w:val="num" w:pos="950"/>
        </w:tabs>
        <w:jc w:val="both"/>
      </w:pPr>
      <w:r w:rsidRPr="006B5B23">
        <w:t>protokol o zaradení drobného majetku do používania alebo výdajka zo skladu</w:t>
      </w:r>
    </w:p>
    <w:p w:rsidR="006B5B23" w:rsidRPr="006B5B23" w:rsidRDefault="006B5B23" w:rsidP="006B5B23">
      <w:pPr>
        <w:numPr>
          <w:ilvl w:val="0"/>
          <w:numId w:val="15"/>
        </w:numPr>
        <w:tabs>
          <w:tab w:val="clear" w:pos="420"/>
          <w:tab w:val="num" w:pos="950"/>
        </w:tabs>
        <w:jc w:val="both"/>
      </w:pPr>
      <w:r w:rsidRPr="006B5B23">
        <w:t xml:space="preserve">protokol o vyradení drobného majetku    </w:t>
      </w:r>
    </w:p>
    <w:p w:rsidR="006B5B23" w:rsidRPr="006B5B23" w:rsidRDefault="006B5B23" w:rsidP="006B5B23">
      <w:pPr>
        <w:numPr>
          <w:ilvl w:val="0"/>
          <w:numId w:val="9"/>
        </w:numPr>
        <w:jc w:val="both"/>
      </w:pPr>
      <w:r w:rsidRPr="006B5B23">
        <w:rPr>
          <w:b/>
        </w:rPr>
        <w:t xml:space="preserve">Drobný majetok do 20 € sa neeviduje.  </w:t>
      </w:r>
    </w:p>
    <w:p w:rsidR="006B5B23" w:rsidRPr="006B5B23" w:rsidRDefault="006B5B23" w:rsidP="006B5B23">
      <w:pPr>
        <w:numPr>
          <w:ilvl w:val="0"/>
          <w:numId w:val="9"/>
        </w:numPr>
        <w:jc w:val="both"/>
      </w:pPr>
      <w:r w:rsidRPr="006B5B23">
        <w:t xml:space="preserve">Evidencia majetku je vedená prostriedkami výpočtovej techniky za použitia programu </w:t>
      </w:r>
      <w:proofErr w:type="spellStart"/>
      <w:r w:rsidRPr="006B5B23">
        <w:t>WinIBEU</w:t>
      </w:r>
      <w:proofErr w:type="spellEnd"/>
      <w:r w:rsidRPr="006B5B23">
        <w:t>.</w:t>
      </w:r>
    </w:p>
    <w:p w:rsidR="006B5B23" w:rsidRPr="006B5B23" w:rsidRDefault="006B5B23" w:rsidP="006B5B23">
      <w:pPr>
        <w:jc w:val="both"/>
      </w:pPr>
    </w:p>
    <w:p w:rsidR="006B5B23" w:rsidRPr="006B5B23" w:rsidRDefault="006B5B23" w:rsidP="006B5B23">
      <w:pPr>
        <w:jc w:val="both"/>
      </w:pPr>
      <w:r w:rsidRPr="006B5B23">
        <w:rPr>
          <w:b/>
        </w:rPr>
        <w:t>Článok 4</w:t>
      </w:r>
    </w:p>
    <w:p w:rsidR="006B5B23" w:rsidRPr="006B5B23" w:rsidRDefault="006B5B23" w:rsidP="006B5B23">
      <w:pPr>
        <w:jc w:val="both"/>
      </w:pPr>
      <w:r w:rsidRPr="006B5B23">
        <w:rPr>
          <w:b/>
        </w:rPr>
        <w:t>Odpisovanie majetku</w:t>
      </w:r>
    </w:p>
    <w:p w:rsidR="006B5B23" w:rsidRPr="006B5B23" w:rsidRDefault="006B5B23" w:rsidP="006B5B23">
      <w:pPr>
        <w:numPr>
          <w:ilvl w:val="0"/>
          <w:numId w:val="22"/>
        </w:numPr>
        <w:jc w:val="both"/>
      </w:pPr>
      <w:r w:rsidRPr="006B5B23">
        <w:t>Dlhodobý nehmotný majetok a dlhodobý hmotný majetok sa odpisuje nepriamo prostredníctvom účtovných odpisov. Zostatková cena sa zisťuje pomocou oprávok k dlhodobému nehmotnému a dlhodobému hmotnému majetku.</w:t>
      </w:r>
    </w:p>
    <w:p w:rsidR="006B5B23" w:rsidRPr="006B5B23" w:rsidRDefault="006B5B23" w:rsidP="006B5B23">
      <w:pPr>
        <w:numPr>
          <w:ilvl w:val="0"/>
          <w:numId w:val="22"/>
        </w:numPr>
        <w:jc w:val="both"/>
      </w:pPr>
      <w:r w:rsidRPr="006B5B23">
        <w:t>Dlhodobý hmotný majetok a dlhodobý nehmotný majetok sa odpisuje počas predpokladanej doby používania zodpovedajúcej spotrebe budúcich ekonomických úžitkov z majetku.</w:t>
      </w:r>
    </w:p>
    <w:p w:rsidR="006B5B23" w:rsidRPr="006B5B23" w:rsidRDefault="006B5B23" w:rsidP="006B5B23">
      <w:pPr>
        <w:numPr>
          <w:ilvl w:val="0"/>
          <w:numId w:val="22"/>
        </w:numPr>
        <w:jc w:val="both"/>
      </w:pPr>
      <w:r w:rsidRPr="006B5B23">
        <w:t>Technické zhodnotenie dlhodobého nehmotného majetku sa odpíše takým spôsobom ako dlhodobý nehmotný majetok, ku ktorému sa vzťahuje.</w:t>
      </w:r>
    </w:p>
    <w:p w:rsidR="006B5B23" w:rsidRPr="006B5B23" w:rsidRDefault="006B5B23" w:rsidP="006B5B23">
      <w:pPr>
        <w:numPr>
          <w:ilvl w:val="0"/>
          <w:numId w:val="22"/>
        </w:numPr>
        <w:jc w:val="both"/>
      </w:pPr>
      <w:r w:rsidRPr="006B5B23">
        <w:t xml:space="preserve">Účtovné odpisy sa počítajú z ceny, ktorou je dlhodobý nehmotný majetok alebo dlhodobý hmotný majetok ocenený v účtovníctve. </w:t>
      </w:r>
    </w:p>
    <w:p w:rsidR="006B5B23" w:rsidRPr="006B5B23" w:rsidRDefault="006B5B23" w:rsidP="006B5B23">
      <w:pPr>
        <w:numPr>
          <w:ilvl w:val="0"/>
          <w:numId w:val="22"/>
        </w:numPr>
        <w:jc w:val="both"/>
      </w:pPr>
      <w:r w:rsidRPr="006B5B23">
        <w:t>Účtovné odpisy dlhodobého nehmotného majetku a dlhodobého hmotného majetku v podielovom spoluvlastníctve sa vykonávajú za každého spoluvlastníka z  jeho spoluvlastníckeho podielu.</w:t>
      </w:r>
    </w:p>
    <w:p w:rsidR="006B5B23" w:rsidRPr="006B5B23" w:rsidRDefault="006B5B23" w:rsidP="006B5B23">
      <w:pPr>
        <w:numPr>
          <w:ilvl w:val="0"/>
          <w:numId w:val="22"/>
        </w:numPr>
        <w:jc w:val="both"/>
      </w:pPr>
      <w:r w:rsidRPr="006B5B23">
        <w:t xml:space="preserve">Účtovné odpisy </w:t>
      </w:r>
      <w:r w:rsidRPr="006B5B23">
        <w:rPr>
          <w:b/>
        </w:rPr>
        <w:t>zaokrúhlené podľa odpisového plánu na eurá hore</w:t>
      </w:r>
      <w:r w:rsidRPr="006B5B23">
        <w:t xml:space="preserve">  sa účtujú v prospech účtov účtových skupín 07 - Oprávky k dlhodobému nehmotnému majetku alebo 08 - Oprávky k dlhodobému hmotnému majetku a na ťarchu účtu 551 - Odpisy dlhodobého nehmotného majetku a dlhodobého hmotného majetku. </w:t>
      </w:r>
    </w:p>
    <w:p w:rsidR="006B5B23" w:rsidRPr="006B5B23" w:rsidRDefault="006B5B23" w:rsidP="006B5B23">
      <w:pPr>
        <w:numPr>
          <w:ilvl w:val="0"/>
          <w:numId w:val="22"/>
        </w:numPr>
        <w:jc w:val="both"/>
      </w:pPr>
      <w:r w:rsidRPr="006B5B23">
        <w:t>Pri tvorbe odpisového plánu sa zohľadňuje doba použiteľnosti pričom sa predovšetkým zohľadňuje</w:t>
      </w:r>
    </w:p>
    <w:p w:rsidR="006B5B23" w:rsidRPr="006B5B23" w:rsidRDefault="006B5B23" w:rsidP="006B5B23">
      <w:pPr>
        <w:numPr>
          <w:ilvl w:val="0"/>
          <w:numId w:val="12"/>
        </w:numPr>
        <w:tabs>
          <w:tab w:val="clear" w:pos="600"/>
          <w:tab w:val="num" w:pos="950"/>
        </w:tabs>
        <w:jc w:val="both"/>
      </w:pPr>
      <w:r w:rsidRPr="006B5B23">
        <w:t>očakávané použitie majetku a intenzita jeho využitia,</w:t>
      </w:r>
    </w:p>
    <w:p w:rsidR="006B5B23" w:rsidRPr="006B5B23" w:rsidRDefault="006B5B23" w:rsidP="006B5B23">
      <w:pPr>
        <w:numPr>
          <w:ilvl w:val="0"/>
          <w:numId w:val="12"/>
        </w:numPr>
        <w:tabs>
          <w:tab w:val="clear" w:pos="600"/>
          <w:tab w:val="num" w:pos="950"/>
        </w:tabs>
        <w:jc w:val="both"/>
      </w:pPr>
      <w:r w:rsidRPr="006B5B23">
        <w:t>očakávané fyzické opotrebovanie majetku,</w:t>
      </w:r>
    </w:p>
    <w:p w:rsidR="006B5B23" w:rsidRPr="006B5B23" w:rsidRDefault="006B5B23" w:rsidP="006B5B23">
      <w:pPr>
        <w:numPr>
          <w:ilvl w:val="0"/>
          <w:numId w:val="12"/>
        </w:numPr>
        <w:tabs>
          <w:tab w:val="clear" w:pos="600"/>
          <w:tab w:val="num" w:pos="950"/>
        </w:tabs>
        <w:jc w:val="both"/>
      </w:pPr>
      <w:r w:rsidRPr="006B5B23">
        <w:t>technické a morálne zastaranie,</w:t>
      </w:r>
    </w:p>
    <w:p w:rsidR="006B5B23" w:rsidRPr="006B5B23" w:rsidRDefault="006B5B23" w:rsidP="006B5B23">
      <w:pPr>
        <w:numPr>
          <w:ilvl w:val="0"/>
          <w:numId w:val="12"/>
        </w:numPr>
        <w:tabs>
          <w:tab w:val="clear" w:pos="600"/>
          <w:tab w:val="num" w:pos="950"/>
        </w:tabs>
        <w:jc w:val="both"/>
      </w:pPr>
      <w:r w:rsidRPr="006B5B23">
        <w:t xml:space="preserve">zákonné alebo iné obmedzenia na používanie majetku. </w:t>
      </w:r>
    </w:p>
    <w:p w:rsidR="006B5B23" w:rsidRPr="006B5B23" w:rsidRDefault="006B5B23" w:rsidP="006B5B23">
      <w:pPr>
        <w:numPr>
          <w:ilvl w:val="0"/>
          <w:numId w:val="22"/>
        </w:numPr>
        <w:jc w:val="both"/>
      </w:pPr>
      <w:r w:rsidRPr="006B5B23">
        <w:t>Ak sa zmenia podmienky používania majetku, prehodnotí sa odpisový plán a upraví sa zostatková doba odpisovania alebo sadzby odpisovania.</w:t>
      </w:r>
    </w:p>
    <w:p w:rsidR="006B5B23" w:rsidRPr="006B5B23" w:rsidRDefault="006B5B23" w:rsidP="006B5B23">
      <w:pPr>
        <w:numPr>
          <w:ilvl w:val="0"/>
          <w:numId w:val="22"/>
        </w:numPr>
        <w:jc w:val="both"/>
      </w:pPr>
      <w:r w:rsidRPr="006B5B23">
        <w:rPr>
          <w:b/>
        </w:rPr>
        <w:t>Neodpisujú sa</w:t>
      </w:r>
      <w:r w:rsidRPr="006B5B23">
        <w:t xml:space="preserve"> pozemky, predmety z drahých kovov, umelecké diela a zbierky, ktoré nie sú súčasťou stavieb a budov a predmety kultúrnej hodnoty a iný majetok vymedzený      osobitnými predpismi.</w:t>
      </w:r>
    </w:p>
    <w:p w:rsidR="006B5B23" w:rsidRPr="006B5B23" w:rsidRDefault="006B5B23" w:rsidP="006B5B23">
      <w:pPr>
        <w:numPr>
          <w:ilvl w:val="0"/>
          <w:numId w:val="22"/>
        </w:numPr>
        <w:jc w:val="both"/>
      </w:pPr>
      <w:r w:rsidRPr="006B5B23">
        <w:lastRenderedPageBreak/>
        <w:t xml:space="preserve">Hmotný majetok okrem zásob a nehmotný majetok okrem pohľadávok </w:t>
      </w:r>
      <w:r w:rsidRPr="006B5B23">
        <w:rPr>
          <w:b/>
        </w:rPr>
        <w:t>odpisuje</w:t>
      </w:r>
      <w:r w:rsidRPr="006B5B23">
        <w:t xml:space="preserve"> účtovná jednotka počas predpokladanej doby používania zodpovedajúcej spotrebe budúcich ekonomických úžitkov z majetku. Nehmotný majetok, ktorým sú náklady na vývoj, musí účtovná jednotka odpísať najneskôr do piatich rokov od jeho obstarania.</w:t>
      </w:r>
    </w:p>
    <w:p w:rsidR="006B5B23" w:rsidRPr="006B5B23" w:rsidRDefault="006B5B23" w:rsidP="006B5B23">
      <w:pPr>
        <w:numPr>
          <w:ilvl w:val="0"/>
          <w:numId w:val="22"/>
        </w:numPr>
        <w:jc w:val="both"/>
      </w:pPr>
      <w:r w:rsidRPr="006B5B23">
        <w:t xml:space="preserve">Účtovná jednotka zostavuje odpisový plán v súlade so zákonom o účtovníctve. Účtovná jednotka odpisuje majetok metódou </w:t>
      </w:r>
      <w:r w:rsidRPr="006B5B23">
        <w:rPr>
          <w:b/>
        </w:rPr>
        <w:t>rovnomerného odpisovania</w:t>
      </w:r>
      <w:r w:rsidRPr="006B5B23">
        <w:t>.</w:t>
      </w:r>
    </w:p>
    <w:p w:rsidR="006B5B23" w:rsidRPr="006B5B23" w:rsidRDefault="006B5B23" w:rsidP="006B5B23">
      <w:pPr>
        <w:numPr>
          <w:ilvl w:val="0"/>
          <w:numId w:val="22"/>
        </w:numPr>
        <w:jc w:val="both"/>
      </w:pPr>
      <w:r w:rsidRPr="006B5B23">
        <w:t xml:space="preserve">V zmysle § 7 ods. 3 zákona o účtovníctve, účtovná jednotka môže zmeniť postup odpisovania majetku v účtovníctve, ak sa tým dosiahne verný a pravdivý obraz skutočností.  k účtovná jednotka zmení odpisový plán v priebehu účtovného obdobia, musí nový postup  </w:t>
      </w:r>
      <w:proofErr w:type="spellStart"/>
      <w:r w:rsidRPr="006B5B23">
        <w:t>dpisovania</w:t>
      </w:r>
      <w:proofErr w:type="spellEnd"/>
      <w:r w:rsidRPr="006B5B23">
        <w:t xml:space="preserve"> použiť spätne od prvého dňa daného účtovného obdobia. O zmene odpisového  lánu musí účtovná jednotka informovať v poznámkach. </w:t>
      </w:r>
    </w:p>
    <w:p w:rsidR="006B5B23" w:rsidRPr="006B5B23" w:rsidRDefault="006B5B23" w:rsidP="006B5B23">
      <w:pPr>
        <w:jc w:val="both"/>
        <w:rPr>
          <w:b/>
        </w:rPr>
      </w:pPr>
    </w:p>
    <w:p w:rsidR="006B5B23" w:rsidRPr="006B5B23" w:rsidRDefault="006B5B23" w:rsidP="006B5B23">
      <w:pPr>
        <w:jc w:val="both"/>
      </w:pPr>
      <w:r w:rsidRPr="006B5B23">
        <w:rPr>
          <w:b/>
        </w:rPr>
        <w:t>Článok 5</w:t>
      </w:r>
    </w:p>
    <w:p w:rsidR="006B5B23" w:rsidRPr="006B5B23" w:rsidRDefault="006B5B23" w:rsidP="006B5B23">
      <w:pPr>
        <w:jc w:val="both"/>
      </w:pPr>
      <w:r w:rsidRPr="006B5B23">
        <w:rPr>
          <w:b/>
        </w:rPr>
        <w:t>Odpisový plán</w:t>
      </w:r>
    </w:p>
    <w:p w:rsidR="006B5B23" w:rsidRPr="006B5B23" w:rsidRDefault="006B5B23" w:rsidP="006B5B23">
      <w:pPr>
        <w:jc w:val="both"/>
      </w:pPr>
      <w:r w:rsidRPr="006B5B23">
        <w:rPr>
          <w:b/>
        </w:rPr>
        <w:t xml:space="preserve">Účtovné odpisy - hlavná činnosť:  </w:t>
      </w:r>
    </w:p>
    <w:p w:rsidR="006B5B23" w:rsidRPr="006B5B23" w:rsidRDefault="006B5B23" w:rsidP="006B5B23">
      <w:pPr>
        <w:numPr>
          <w:ilvl w:val="0"/>
          <w:numId w:val="26"/>
        </w:numPr>
        <w:jc w:val="both"/>
      </w:pPr>
      <w:r w:rsidRPr="006B5B23">
        <w:t xml:space="preserve">Účtovná jednotka používa nasledovný odpisový plán: </w:t>
      </w:r>
    </w:p>
    <w:p w:rsidR="006B5B23" w:rsidRPr="006B5B23" w:rsidRDefault="006B5B23" w:rsidP="006B5B23">
      <w:pPr>
        <w:jc w:val="both"/>
      </w:pPr>
    </w:p>
    <w:tbl>
      <w:tblPr>
        <w:tblW w:w="0" w:type="auto"/>
        <w:tblInd w:w="818" w:type="dxa"/>
        <w:tblLayout w:type="fixed"/>
        <w:tblLook w:val="0000" w:firstRow="0" w:lastRow="0" w:firstColumn="0" w:lastColumn="0" w:noHBand="0" w:noVBand="0"/>
      </w:tblPr>
      <w:tblGrid>
        <w:gridCol w:w="2242"/>
        <w:gridCol w:w="3071"/>
        <w:gridCol w:w="3091"/>
      </w:tblGrid>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rPr>
                <w:b/>
              </w:rPr>
              <w:t>Odpisová skupina</w:t>
            </w:r>
          </w:p>
        </w:tc>
        <w:tc>
          <w:tcPr>
            <w:tcW w:w="3071"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rPr>
                <w:b/>
              </w:rPr>
              <w:t>Doba odpisovania v rokoch</w:t>
            </w:r>
          </w:p>
          <w:p w:rsidR="006B5B23" w:rsidRPr="006B5B23" w:rsidRDefault="006B5B23" w:rsidP="006B5B23">
            <w:pPr>
              <w:jc w:val="both"/>
            </w:pPr>
            <w:r w:rsidRPr="006B5B23">
              <w:rPr>
                <w:b/>
              </w:rPr>
              <w:t>napr.:</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rPr>
                <w:b/>
              </w:rPr>
              <w:t>Ročný odpis</w:t>
            </w:r>
          </w:p>
          <w:p w:rsidR="006B5B23" w:rsidRPr="006B5B23" w:rsidRDefault="006B5B23" w:rsidP="006B5B23">
            <w:pPr>
              <w:jc w:val="both"/>
            </w:pPr>
            <w:r w:rsidRPr="006B5B23">
              <w:rPr>
                <w:b/>
              </w:rPr>
              <w:t>napr.:</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1</w:t>
            </w:r>
          </w:p>
        </w:tc>
        <w:tc>
          <w:tcPr>
            <w:tcW w:w="3071"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8</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1/8</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2</w:t>
            </w:r>
          </w:p>
        </w:tc>
        <w:tc>
          <w:tcPr>
            <w:tcW w:w="3071"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10</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1/10</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3,4</w:t>
            </w:r>
          </w:p>
        </w:tc>
        <w:tc>
          <w:tcPr>
            <w:tcW w:w="3071"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 xml:space="preserve">25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1/25</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5,6</w:t>
            </w:r>
          </w:p>
        </w:tc>
        <w:tc>
          <w:tcPr>
            <w:tcW w:w="3071"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80</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1/80</w:t>
            </w:r>
          </w:p>
        </w:tc>
      </w:tr>
    </w:tbl>
    <w:p w:rsidR="006B5B23" w:rsidRPr="006B5B23" w:rsidRDefault="006B5B23" w:rsidP="006B5B23">
      <w:pPr>
        <w:jc w:val="both"/>
      </w:pPr>
    </w:p>
    <w:p w:rsidR="006B5B23" w:rsidRPr="006B5B23" w:rsidRDefault="006B5B23" w:rsidP="006B5B23">
      <w:pPr>
        <w:numPr>
          <w:ilvl w:val="0"/>
          <w:numId w:val="26"/>
        </w:numPr>
        <w:jc w:val="both"/>
      </w:pPr>
      <w:r w:rsidRPr="006B5B23">
        <w:t xml:space="preserve">Účtovná jednotka zaraďuje majetok do odpisových skupín v zmysle zákona č.595/2003 </w:t>
      </w:r>
      <w:proofErr w:type="spellStart"/>
      <w:r w:rsidRPr="006B5B23">
        <w:t>Z.z</w:t>
      </w:r>
      <w:proofErr w:type="spellEnd"/>
      <w:r w:rsidRPr="006B5B23">
        <w:t>. o dani z príjmov v </w:t>
      </w:r>
      <w:proofErr w:type="spellStart"/>
      <w:r w:rsidRPr="006B5B23">
        <w:t>z.n.p</w:t>
      </w:r>
      <w:proofErr w:type="spellEnd"/>
      <w:r w:rsidRPr="006B5B23">
        <w:t xml:space="preserve">. Účtovná jednotka určí dobu odpisovaniu podľa predpokladanej doby používania. Ak účtovná jednotka nemôže zaradiť majetok do 1. - 6. odpisovej skupiny, individuálne prehodnotí odpisový plán konkrétneho majetku podľa špecifických podmienok používania. </w:t>
      </w:r>
    </w:p>
    <w:p w:rsidR="006B5B23" w:rsidRPr="006B5B23" w:rsidRDefault="006B5B23" w:rsidP="006B5B23">
      <w:pPr>
        <w:numPr>
          <w:ilvl w:val="0"/>
          <w:numId w:val="26"/>
        </w:numPr>
        <w:jc w:val="both"/>
      </w:pPr>
      <w:r w:rsidRPr="006B5B23">
        <w:t>Účtovná jednotka odpisuje drobný dlhodobý hmotný majetok podľa predpokladanej doby používania od 2 rokov do 6 rokov.</w:t>
      </w:r>
    </w:p>
    <w:p w:rsidR="006B5B23" w:rsidRPr="006B5B23" w:rsidRDefault="006B5B23" w:rsidP="006B5B23">
      <w:pPr>
        <w:numPr>
          <w:ilvl w:val="0"/>
          <w:numId w:val="26"/>
        </w:numPr>
        <w:jc w:val="both"/>
      </w:pPr>
      <w:r w:rsidRPr="006B5B23">
        <w:t>Účtovná jednotka odpisuje drobný dlhodobý nehmotný majetok podľa predpokladanej doby používania od 3 rokov do 6 rokov.</w:t>
      </w:r>
    </w:p>
    <w:p w:rsidR="006B5B23" w:rsidRPr="006B5B23" w:rsidRDefault="006B5B23" w:rsidP="006B5B23">
      <w:pPr>
        <w:numPr>
          <w:ilvl w:val="0"/>
          <w:numId w:val="26"/>
        </w:numPr>
        <w:jc w:val="both"/>
      </w:pPr>
      <w:r w:rsidRPr="006B5B23">
        <w:t>Účtovné odpisy sa zaokrúhľujú</w:t>
      </w:r>
      <w:r w:rsidRPr="006B5B23">
        <w:rPr>
          <w:b/>
        </w:rPr>
        <w:t xml:space="preserve"> na eurá smerom nahor.</w:t>
      </w:r>
    </w:p>
    <w:p w:rsidR="006B5B23" w:rsidRPr="006B5B23" w:rsidRDefault="006B5B23" w:rsidP="006B5B23">
      <w:pPr>
        <w:numPr>
          <w:ilvl w:val="0"/>
          <w:numId w:val="26"/>
        </w:numPr>
        <w:jc w:val="both"/>
      </w:pPr>
      <w:r w:rsidRPr="006B5B23">
        <w:t>Majetok sa začne odpisovať odo dňa jeho zaradenia do používania.</w:t>
      </w:r>
    </w:p>
    <w:p w:rsidR="006B5B23" w:rsidRPr="006B5B23" w:rsidRDefault="006B5B23" w:rsidP="006B5B23">
      <w:pPr>
        <w:jc w:val="both"/>
      </w:pPr>
    </w:p>
    <w:p w:rsidR="006B5B23" w:rsidRPr="006B5B23" w:rsidRDefault="006B5B23" w:rsidP="006B5B23">
      <w:pPr>
        <w:jc w:val="both"/>
      </w:pPr>
      <w:r w:rsidRPr="006B5B23">
        <w:rPr>
          <w:b/>
        </w:rPr>
        <w:lastRenderedPageBreak/>
        <w:t>Daňové odpisy - podnikateľská činnosť, hlavná činnosť:</w:t>
      </w:r>
    </w:p>
    <w:p w:rsidR="006B5B23" w:rsidRPr="006B5B23" w:rsidRDefault="006B5B23" w:rsidP="006B5B23">
      <w:pPr>
        <w:numPr>
          <w:ilvl w:val="0"/>
          <w:numId w:val="24"/>
        </w:numPr>
        <w:jc w:val="both"/>
      </w:pPr>
      <w:r w:rsidRPr="006B5B23">
        <w:t>Postup pri odpisovaní hmotného majetku (§26 zákona o </w:t>
      </w:r>
      <w:proofErr w:type="spellStart"/>
      <w:r w:rsidRPr="006B5B23">
        <w:t>DzP</w:t>
      </w:r>
      <w:proofErr w:type="spellEnd"/>
      <w:r w:rsidRPr="006B5B23">
        <w:t>). V prvom roku odpisovania zaradí daňovník hmotný majetok v triedení podľa Klasifikácie produkcie a klasifikácie stavieb do odpisových skupín uvedených v prílohe zákona o dani z príjmov. Doba odpisovania je:</w:t>
      </w:r>
    </w:p>
    <w:p w:rsidR="006B5B23" w:rsidRPr="006B5B23" w:rsidRDefault="006B5B23" w:rsidP="006B5B23">
      <w:pPr>
        <w:jc w:val="both"/>
      </w:pPr>
      <w:r w:rsidRPr="006B5B23">
        <w:t xml:space="preserve">    </w:t>
      </w:r>
    </w:p>
    <w:tbl>
      <w:tblPr>
        <w:tblW w:w="0" w:type="auto"/>
        <w:tblInd w:w="818" w:type="dxa"/>
        <w:tblLayout w:type="fixed"/>
        <w:tblLook w:val="0000" w:firstRow="0" w:lastRow="0" w:firstColumn="0" w:lastColumn="0" w:noHBand="0" w:noVBand="0"/>
      </w:tblPr>
      <w:tblGrid>
        <w:gridCol w:w="2242"/>
        <w:gridCol w:w="3091"/>
      </w:tblGrid>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rPr>
                <w:b/>
              </w:rPr>
              <w:t>Odpisová skupina</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rPr>
                <w:b/>
              </w:rPr>
              <w:t xml:space="preserve">Doba odpisovania </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 xml:space="preserve">4 roky </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 xml:space="preserve">  6 rokov</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 xml:space="preserve">  8 rokov </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 xml:space="preserve">12 rokov </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20 rokov</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6</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40 rokov</w:t>
            </w:r>
          </w:p>
        </w:tc>
      </w:tr>
    </w:tbl>
    <w:p w:rsidR="006B5B23" w:rsidRPr="006B5B23" w:rsidRDefault="006B5B23" w:rsidP="006B5B23">
      <w:pPr>
        <w:jc w:val="both"/>
      </w:pPr>
    </w:p>
    <w:p w:rsidR="006B5B23" w:rsidRPr="006B5B23" w:rsidRDefault="006B5B23" w:rsidP="006B5B23">
      <w:pPr>
        <w:numPr>
          <w:ilvl w:val="0"/>
          <w:numId w:val="24"/>
        </w:numPr>
        <w:jc w:val="both"/>
      </w:pPr>
      <w:r w:rsidRPr="006B5B23">
        <w:t>Daňovník odpisuje hmotný majetok metódou rovnomerného odpisovania (§ 27). Metódou zrýchleného odpisovania (§ 28) môže daňovník odpisovať hmotný majetok zaradený podľa prílohy č.1 do odpisovej skupiny 2 a 3. Spôsob odpisovania určí daňovník pre každý novoobstaraný hmotný majetok a nemožno ho zmeniť po celú dobu jeho odpisovania.</w:t>
      </w:r>
    </w:p>
    <w:p w:rsidR="006B5B23" w:rsidRPr="006B5B23" w:rsidRDefault="006B5B23" w:rsidP="006B5B23">
      <w:pPr>
        <w:numPr>
          <w:ilvl w:val="0"/>
          <w:numId w:val="24"/>
        </w:numPr>
        <w:jc w:val="both"/>
      </w:pPr>
      <w:r w:rsidRPr="006B5B23">
        <w:t>Hmotný majetok sa odpisuje najviac do výšky vstupnej ceny, prípadne zvýšenej o vykonané technické zhodnotenie alebo pri zrýchlenom odpisovaní do výšky zvýšenej zostatkovej ceny.</w:t>
      </w:r>
    </w:p>
    <w:p w:rsidR="006B5B23" w:rsidRPr="006B5B23" w:rsidRDefault="006B5B23" w:rsidP="006B5B23">
      <w:pPr>
        <w:numPr>
          <w:ilvl w:val="0"/>
          <w:numId w:val="24"/>
        </w:numPr>
        <w:jc w:val="both"/>
      </w:pPr>
      <w:r w:rsidRPr="006B5B23">
        <w:rPr>
          <w:u w:val="single"/>
        </w:rPr>
        <w:t>Rovnomerné odpisovanie hmotného majetku</w:t>
      </w:r>
      <w:r w:rsidRPr="006B5B23">
        <w:t xml:space="preserve"> (§27 zákona o </w:t>
      </w:r>
      <w:proofErr w:type="spellStart"/>
      <w:r w:rsidRPr="006B5B23">
        <w:t>DzP</w:t>
      </w:r>
      <w:proofErr w:type="spellEnd"/>
      <w:r w:rsidRPr="006B5B23">
        <w:t>) - pri rovnomernom odpisovaní sa ročný odpis určí ako podiel vstupnej ceny hmotného majetku a doby odpisovania ustanovenej pre príslušnú odpisovú skupinu v § 26 ods. 1 zákona o </w:t>
      </w:r>
      <w:proofErr w:type="spellStart"/>
      <w:r w:rsidRPr="006B5B23">
        <w:t>DzP</w:t>
      </w:r>
      <w:proofErr w:type="spellEnd"/>
      <w:r w:rsidRPr="006B5B23">
        <w:t xml:space="preserve"> takto: </w:t>
      </w:r>
    </w:p>
    <w:p w:rsidR="006B5B23" w:rsidRPr="006B5B23" w:rsidRDefault="006B5B23" w:rsidP="006B5B23">
      <w:pPr>
        <w:jc w:val="both"/>
      </w:pPr>
    </w:p>
    <w:tbl>
      <w:tblPr>
        <w:tblW w:w="0" w:type="auto"/>
        <w:tblInd w:w="818" w:type="dxa"/>
        <w:tblLayout w:type="fixed"/>
        <w:tblLook w:val="0000" w:firstRow="0" w:lastRow="0" w:firstColumn="0" w:lastColumn="0" w:noHBand="0" w:noVBand="0"/>
      </w:tblPr>
      <w:tblGrid>
        <w:gridCol w:w="2242"/>
        <w:gridCol w:w="3091"/>
      </w:tblGrid>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rPr>
                <w:b/>
              </w:rPr>
              <w:t>Odpisová skupina</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rPr>
                <w:b/>
              </w:rPr>
              <w:t>Ročný odpis</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1/4</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1/6</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1/8</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1/12</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1/20</w:t>
            </w:r>
          </w:p>
        </w:tc>
      </w:tr>
      <w:tr w:rsidR="006B5B23" w:rsidRPr="006B5B23" w:rsidTr="00DD1630">
        <w:tc>
          <w:tcPr>
            <w:tcW w:w="2242"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6</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1/40</w:t>
            </w:r>
          </w:p>
        </w:tc>
      </w:tr>
    </w:tbl>
    <w:p w:rsidR="006B5B23" w:rsidRPr="006B5B23" w:rsidRDefault="006B5B23" w:rsidP="006B5B23">
      <w:pPr>
        <w:jc w:val="both"/>
      </w:pPr>
    </w:p>
    <w:p w:rsidR="006B5B23" w:rsidRPr="006B5B23" w:rsidRDefault="006B5B23" w:rsidP="006B5B23">
      <w:pPr>
        <w:jc w:val="both"/>
      </w:pPr>
      <w:r w:rsidRPr="006B5B23">
        <w:t xml:space="preserve">V prvom roku odpisovania hmotného majetku sa uplatní len pomerná časť z ročného odpisu, v závislosti od počtu mesiacov počnúc mesiacom jeho zaradenia do užívania.  </w:t>
      </w:r>
    </w:p>
    <w:p w:rsidR="006B5B23" w:rsidRPr="006B5B23" w:rsidRDefault="006B5B23" w:rsidP="006B5B23">
      <w:pPr>
        <w:jc w:val="both"/>
      </w:pPr>
      <w:r w:rsidRPr="006B5B23">
        <w:t>Ročný odpis a pomerná časť z ročného odpisu sa zaokrúhľuje na celé eurá nahor.</w:t>
      </w:r>
    </w:p>
    <w:p w:rsidR="006B5B23" w:rsidRPr="006B5B23" w:rsidRDefault="006B5B23" w:rsidP="006B5B23">
      <w:pPr>
        <w:numPr>
          <w:ilvl w:val="0"/>
          <w:numId w:val="24"/>
        </w:numPr>
        <w:jc w:val="both"/>
      </w:pPr>
      <w:r w:rsidRPr="006B5B23">
        <w:rPr>
          <w:bCs/>
          <w:u w:val="single"/>
        </w:rPr>
        <w:lastRenderedPageBreak/>
        <w:t xml:space="preserve">Zrýchlené odpisovanie hmotného majetku zaradeného do odpisovej skupiny 2 a 3 </w:t>
      </w:r>
      <w:r w:rsidRPr="006B5B23">
        <w:t>(§28 zákona o </w:t>
      </w:r>
      <w:proofErr w:type="spellStart"/>
      <w:r w:rsidRPr="006B5B23">
        <w:t>DzP</w:t>
      </w:r>
      <w:proofErr w:type="spellEnd"/>
      <w:r w:rsidRPr="006B5B23">
        <w:t>) - pri zrýchlenom odpisovaní hmotného majetku sa odpisovým skupinám 2 a 3 priraďujú tieto koeficienty pre zrýchlené odpisovanie:</w:t>
      </w:r>
    </w:p>
    <w:tbl>
      <w:tblPr>
        <w:tblW w:w="0" w:type="auto"/>
        <w:tblInd w:w="807" w:type="dxa"/>
        <w:tblLayout w:type="fixed"/>
        <w:tblLook w:val="0000" w:firstRow="0" w:lastRow="0" w:firstColumn="0" w:lastColumn="0" w:noHBand="0" w:noVBand="0"/>
      </w:tblPr>
      <w:tblGrid>
        <w:gridCol w:w="2126"/>
        <w:gridCol w:w="2127"/>
        <w:gridCol w:w="2268"/>
        <w:gridCol w:w="2178"/>
      </w:tblGrid>
      <w:tr w:rsidR="006B5B23" w:rsidRPr="006B5B23" w:rsidTr="00DD1630">
        <w:tc>
          <w:tcPr>
            <w:tcW w:w="2126"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p>
        </w:tc>
        <w:tc>
          <w:tcPr>
            <w:tcW w:w="2127" w:type="dxa"/>
            <w:tcBorders>
              <w:top w:val="single" w:sz="4" w:space="0" w:color="000000"/>
              <w:bottom w:val="single" w:sz="4" w:space="0" w:color="000000"/>
            </w:tcBorders>
            <w:shd w:val="clear" w:color="auto" w:fill="auto"/>
          </w:tcPr>
          <w:p w:rsidR="006B5B23" w:rsidRPr="006B5B23" w:rsidRDefault="006B5B23" w:rsidP="006B5B23">
            <w:pPr>
              <w:jc w:val="both"/>
            </w:pPr>
            <w:r w:rsidRPr="006B5B23">
              <w:rPr>
                <w:b/>
              </w:rPr>
              <w:t xml:space="preserve">             Koeficient pre </w:t>
            </w:r>
          </w:p>
        </w:tc>
        <w:tc>
          <w:tcPr>
            <w:tcW w:w="2268" w:type="dxa"/>
            <w:tcBorders>
              <w:top w:val="single" w:sz="4" w:space="0" w:color="000000"/>
              <w:bottom w:val="single" w:sz="4" w:space="0" w:color="000000"/>
            </w:tcBorders>
            <w:shd w:val="clear" w:color="auto" w:fill="auto"/>
          </w:tcPr>
          <w:p w:rsidR="006B5B23" w:rsidRPr="006B5B23" w:rsidRDefault="006B5B23" w:rsidP="006B5B23">
            <w:pPr>
              <w:jc w:val="both"/>
            </w:pPr>
            <w:r w:rsidRPr="006B5B23">
              <w:rPr>
                <w:b/>
              </w:rPr>
              <w:t>zrýchlené odpisovanie</w:t>
            </w:r>
          </w:p>
        </w:tc>
        <w:tc>
          <w:tcPr>
            <w:tcW w:w="2178" w:type="dxa"/>
            <w:tcBorders>
              <w:top w:val="single" w:sz="4" w:space="0" w:color="000000"/>
              <w:bottom w:val="single" w:sz="4" w:space="0" w:color="000000"/>
              <w:right w:val="single" w:sz="4" w:space="0" w:color="000000"/>
            </w:tcBorders>
            <w:shd w:val="clear" w:color="auto" w:fill="auto"/>
          </w:tcPr>
          <w:p w:rsidR="006B5B23" w:rsidRPr="006B5B23" w:rsidRDefault="006B5B23" w:rsidP="006B5B23">
            <w:pPr>
              <w:jc w:val="both"/>
              <w:rPr>
                <w:b/>
              </w:rPr>
            </w:pPr>
          </w:p>
        </w:tc>
      </w:tr>
      <w:tr w:rsidR="006B5B23" w:rsidRPr="006B5B23" w:rsidTr="00DD1630">
        <w:tc>
          <w:tcPr>
            <w:tcW w:w="2126"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rPr>
                <w:b/>
              </w:rPr>
              <w:t>Odpisová skupina</w:t>
            </w:r>
          </w:p>
        </w:tc>
        <w:tc>
          <w:tcPr>
            <w:tcW w:w="2127"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rPr>
                <w:b/>
              </w:rPr>
              <w:t>v prvom roku odpisovania</w:t>
            </w:r>
          </w:p>
        </w:tc>
        <w:tc>
          <w:tcPr>
            <w:tcW w:w="2268"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rPr>
                <w:b/>
              </w:rPr>
              <w:t>v ďalších rokoch odpisovania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rPr>
                <w:b/>
              </w:rPr>
              <w:t>pre zvýšenú zostatkovú cenu</w:t>
            </w:r>
          </w:p>
        </w:tc>
      </w:tr>
      <w:tr w:rsidR="006B5B23" w:rsidRPr="006B5B23" w:rsidTr="00DD1630">
        <w:tc>
          <w:tcPr>
            <w:tcW w:w="2126"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2</w:t>
            </w:r>
          </w:p>
        </w:tc>
        <w:tc>
          <w:tcPr>
            <w:tcW w:w="2127"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6</w:t>
            </w:r>
          </w:p>
        </w:tc>
        <w:tc>
          <w:tcPr>
            <w:tcW w:w="2268"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7</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6</w:t>
            </w:r>
          </w:p>
        </w:tc>
      </w:tr>
      <w:tr w:rsidR="006B5B23" w:rsidRPr="006B5B23" w:rsidTr="00DD1630">
        <w:tc>
          <w:tcPr>
            <w:tcW w:w="2126"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3</w:t>
            </w:r>
          </w:p>
        </w:tc>
        <w:tc>
          <w:tcPr>
            <w:tcW w:w="2127"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8</w:t>
            </w:r>
          </w:p>
        </w:tc>
        <w:tc>
          <w:tcPr>
            <w:tcW w:w="2268" w:type="dxa"/>
            <w:tcBorders>
              <w:top w:val="single" w:sz="4" w:space="0" w:color="000000"/>
              <w:left w:val="single" w:sz="4" w:space="0" w:color="000000"/>
              <w:bottom w:val="single" w:sz="4" w:space="0" w:color="000000"/>
            </w:tcBorders>
            <w:shd w:val="clear" w:color="auto" w:fill="auto"/>
          </w:tcPr>
          <w:p w:rsidR="006B5B23" w:rsidRPr="006B5B23" w:rsidRDefault="006B5B23" w:rsidP="006B5B23">
            <w:pPr>
              <w:jc w:val="both"/>
            </w:pPr>
            <w:r w:rsidRPr="006B5B23">
              <w:t>9</w:t>
            </w:r>
          </w:p>
        </w:tc>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6B5B23" w:rsidRPr="006B5B23" w:rsidRDefault="006B5B23" w:rsidP="006B5B23">
            <w:pPr>
              <w:jc w:val="both"/>
            </w:pPr>
            <w:r w:rsidRPr="006B5B23">
              <w:t>8</w:t>
            </w:r>
          </w:p>
        </w:tc>
      </w:tr>
    </w:tbl>
    <w:p w:rsidR="006B5B23" w:rsidRPr="006B5B23" w:rsidRDefault="006B5B23" w:rsidP="006B5B23">
      <w:pPr>
        <w:jc w:val="both"/>
      </w:pPr>
    </w:p>
    <w:p w:rsidR="006B5B23" w:rsidRPr="006B5B23" w:rsidRDefault="006B5B23" w:rsidP="006B5B23">
      <w:pPr>
        <w:jc w:val="both"/>
      </w:pPr>
      <w:r w:rsidRPr="006B5B23">
        <w:t xml:space="preserve">    Pri zrýchlenom odpisovaní sa určia odpisy z hmotného majetku takto:</w:t>
      </w:r>
    </w:p>
    <w:p w:rsidR="006B5B23" w:rsidRPr="006B5B23" w:rsidRDefault="006B5B23" w:rsidP="006B5B23">
      <w:pPr>
        <w:numPr>
          <w:ilvl w:val="1"/>
          <w:numId w:val="4"/>
        </w:numPr>
        <w:tabs>
          <w:tab w:val="clear" w:pos="708"/>
          <w:tab w:val="num" w:pos="1440"/>
        </w:tabs>
        <w:jc w:val="both"/>
      </w:pPr>
      <w:r w:rsidRPr="006B5B23">
        <w:t xml:space="preserve">v prvom roku odpisovania hmotného majetku len pomerná časť z ročného odpisu určeného ako podiel jeho vstupnej ceny a priradeného koeficientu pre zrýchlené odpisovanie platného v prvom roku odpisovania v závislosti od počtu mesiacov, počnúc mesiacom jeho zaradenia do užívania  </w:t>
      </w:r>
    </w:p>
    <w:p w:rsidR="006B5B23" w:rsidRPr="006B5B23" w:rsidRDefault="006B5B23" w:rsidP="006B5B23">
      <w:pPr>
        <w:numPr>
          <w:ilvl w:val="1"/>
          <w:numId w:val="4"/>
        </w:numPr>
        <w:tabs>
          <w:tab w:val="clear" w:pos="708"/>
          <w:tab w:val="num" w:pos="1440"/>
        </w:tabs>
        <w:jc w:val="both"/>
      </w:pPr>
      <w:r w:rsidRPr="006B5B23">
        <w:t>v ďalších rokoch odpisovania ako podiel dvojnásobku jeho zostatkovej ceny a rozdielu medzi priradeným koeficientom pre zrýchlené odpisovanie platným v ďalších rokoch odpisovania a počtom rokov, počas ktorých sa už odpisoval.</w:t>
      </w:r>
    </w:p>
    <w:p w:rsidR="006B5B23" w:rsidRPr="006B5B23" w:rsidRDefault="006B5B23" w:rsidP="006B5B23">
      <w:pPr>
        <w:jc w:val="both"/>
      </w:pPr>
      <w:r w:rsidRPr="006B5B23">
        <w:t xml:space="preserve">     Pri zrýchlenom odpisovaní hmotného majetku po vykonaní technického zhodnotenia sa                                           odpisy určujú takto:</w:t>
      </w:r>
    </w:p>
    <w:p w:rsidR="006B5B23" w:rsidRPr="006B5B23" w:rsidRDefault="006B5B23" w:rsidP="006B5B23">
      <w:pPr>
        <w:numPr>
          <w:ilvl w:val="0"/>
          <w:numId w:val="28"/>
        </w:numPr>
        <w:jc w:val="both"/>
      </w:pPr>
      <w:r w:rsidRPr="006B5B23">
        <w:t>v roku zvýšenia zostatkovej ceny ako podiel dvojnásobku tejto ceny hmotného majetku a  priradeného koeficientu zrýchleného odpisovania platného pre zvýšenú zostatkovú cenu,</w:t>
      </w:r>
    </w:p>
    <w:p w:rsidR="006B5B23" w:rsidRPr="006B5B23" w:rsidRDefault="006B5B23" w:rsidP="006B5B23">
      <w:pPr>
        <w:numPr>
          <w:ilvl w:val="0"/>
          <w:numId w:val="28"/>
        </w:numPr>
        <w:jc w:val="both"/>
      </w:pPr>
      <w:r w:rsidRPr="006B5B23">
        <w:t>v ďalších rokoch odpisovania ako podiel dvojnásobku zostatkovej ceny hmotného majetku a rozdielu medzi priradeným koeficientom zrýchleného odpisovania platným pre zvýšenú zostatkovú cenu a počtom rokov, počas ktorých sa odpisoval zo zvýšenej zostatkovej ceny.</w:t>
      </w:r>
    </w:p>
    <w:p w:rsidR="006B5B23" w:rsidRPr="006B5B23" w:rsidRDefault="006B5B23" w:rsidP="006B5B23">
      <w:pPr>
        <w:jc w:val="both"/>
      </w:pPr>
      <w:r w:rsidRPr="006B5B23">
        <w:t xml:space="preserve">     Ročný odpis sa zaokrúhľuje na celé eurá nahor.</w:t>
      </w:r>
    </w:p>
    <w:p w:rsidR="006B5B23" w:rsidRPr="006B5B23" w:rsidRDefault="006B5B23" w:rsidP="006B5B23">
      <w:pPr>
        <w:numPr>
          <w:ilvl w:val="0"/>
          <w:numId w:val="24"/>
        </w:numPr>
        <w:jc w:val="both"/>
      </w:pPr>
      <w:r w:rsidRPr="006B5B23">
        <w:t>Daňovník môže uplatňovanie odpisov hmotného majetku prerušiť, a to len na jedno celé zdaňovacie obdobie alebo viac celých zdaňovacích období; v ďalšom zdaňovacom období daňovník pokračuje v odpisovaní tak, ako by nebolo prerušené, pričom celková doba odpisovania sa predlžuje o dobu prerušenia odpisovania.</w:t>
      </w:r>
    </w:p>
    <w:p w:rsidR="006B5B23" w:rsidRPr="006B5B23" w:rsidRDefault="006B5B23" w:rsidP="006B5B23">
      <w:pPr>
        <w:numPr>
          <w:ilvl w:val="0"/>
          <w:numId w:val="24"/>
        </w:numPr>
        <w:jc w:val="both"/>
      </w:pPr>
      <w:r w:rsidRPr="006B5B23">
        <w:rPr>
          <w:u w:val="single"/>
        </w:rPr>
        <w:t>Nehmotný majetok</w:t>
      </w:r>
      <w:r w:rsidRPr="006B5B23">
        <w:t xml:space="preserve"> sa odpíše v súlade s účtovnými predpismi, najviac do výšky vstupnej ceny (§ 25 zákona o </w:t>
      </w:r>
      <w:proofErr w:type="spellStart"/>
      <w:r w:rsidRPr="006B5B23">
        <w:t>DzP</w:t>
      </w:r>
      <w:proofErr w:type="spellEnd"/>
      <w:r w:rsidRPr="006B5B23">
        <w:t xml:space="preserve">) s výnimkou </w:t>
      </w:r>
      <w:proofErr w:type="spellStart"/>
      <w:r w:rsidRPr="006B5B23">
        <w:t>goodwillu</w:t>
      </w:r>
      <w:proofErr w:type="spellEnd"/>
      <w:r w:rsidRPr="006B5B23">
        <w:t xml:space="preserve"> a záporného </w:t>
      </w:r>
      <w:proofErr w:type="spellStart"/>
      <w:r w:rsidRPr="006B5B23">
        <w:t>goodwillu</w:t>
      </w:r>
      <w:proofErr w:type="spellEnd"/>
      <w:r w:rsidRPr="006B5B23">
        <w:t xml:space="preserve">, ktorý sa zahrnuje do základu dane podľa § 17a až 17c zákona o </w:t>
      </w:r>
      <w:proofErr w:type="spellStart"/>
      <w:r w:rsidRPr="006B5B23">
        <w:t>DzP</w:t>
      </w:r>
      <w:proofErr w:type="spellEnd"/>
      <w:r w:rsidRPr="006B5B23">
        <w:t>.</w:t>
      </w:r>
    </w:p>
    <w:p w:rsidR="006B5B23" w:rsidRDefault="006B5B23" w:rsidP="006B5B23">
      <w:pPr>
        <w:jc w:val="both"/>
        <w:rPr>
          <w:b/>
        </w:rPr>
      </w:pPr>
    </w:p>
    <w:p w:rsidR="006B5B23" w:rsidRDefault="006B5B23" w:rsidP="006B5B23">
      <w:pPr>
        <w:jc w:val="both"/>
        <w:rPr>
          <w:b/>
        </w:rPr>
      </w:pPr>
    </w:p>
    <w:p w:rsidR="006B5B23" w:rsidRDefault="006B5B23" w:rsidP="006B5B23">
      <w:pPr>
        <w:jc w:val="both"/>
        <w:rPr>
          <w:b/>
        </w:rPr>
      </w:pPr>
    </w:p>
    <w:p w:rsidR="006B5B23" w:rsidRDefault="006B5B23" w:rsidP="006B5B23">
      <w:pPr>
        <w:jc w:val="both"/>
        <w:rPr>
          <w:b/>
        </w:rPr>
      </w:pPr>
    </w:p>
    <w:p w:rsidR="006B5B23" w:rsidRPr="006B5B23" w:rsidRDefault="006B5B23" w:rsidP="006B5B23">
      <w:pPr>
        <w:jc w:val="both"/>
        <w:rPr>
          <w:b/>
        </w:rPr>
      </w:pPr>
    </w:p>
    <w:p w:rsidR="006B5B23" w:rsidRPr="006B5B23" w:rsidRDefault="006B5B23" w:rsidP="006B5B23">
      <w:pPr>
        <w:jc w:val="both"/>
      </w:pPr>
      <w:r w:rsidRPr="006B5B23">
        <w:rPr>
          <w:b/>
        </w:rPr>
        <w:lastRenderedPageBreak/>
        <w:t>Článok 6</w:t>
      </w:r>
    </w:p>
    <w:p w:rsidR="006B5B23" w:rsidRPr="006B5B23" w:rsidRDefault="006B5B23" w:rsidP="006B5B23">
      <w:pPr>
        <w:jc w:val="both"/>
      </w:pPr>
      <w:r w:rsidRPr="006B5B23">
        <w:rPr>
          <w:b/>
        </w:rPr>
        <w:t>Vyraďovanie a likvidácia majetku</w:t>
      </w:r>
    </w:p>
    <w:p w:rsidR="006B5B23" w:rsidRPr="006B5B23" w:rsidRDefault="006B5B23" w:rsidP="006B5B23">
      <w:pPr>
        <w:numPr>
          <w:ilvl w:val="0"/>
          <w:numId w:val="21"/>
        </w:numPr>
        <w:jc w:val="both"/>
      </w:pPr>
      <w:r w:rsidRPr="006B5B23">
        <w:t xml:space="preserve">Návrh na vyradenie majetku predkladá vyraďovacej komisii zodpovedná osoba za majetok.    Vyraďovacia komisia je trojčlenná, posudzuje návrhy na vyradenie majetku a predkladá ich     Ústrednej inventarizačnej komisii. </w:t>
      </w:r>
    </w:p>
    <w:p w:rsidR="006B5B23" w:rsidRPr="006B5B23" w:rsidRDefault="006B5B23" w:rsidP="006B5B23">
      <w:pPr>
        <w:numPr>
          <w:ilvl w:val="0"/>
          <w:numId w:val="21"/>
        </w:numPr>
        <w:jc w:val="both"/>
      </w:pPr>
      <w:r w:rsidRPr="006B5B23">
        <w:t xml:space="preserve">Protokol o vyradení majetku je súčasťou účtovnej a analytickej evidencie. </w:t>
      </w:r>
    </w:p>
    <w:p w:rsidR="006B5B23" w:rsidRPr="006B5B23" w:rsidRDefault="006B5B23" w:rsidP="006B5B23">
      <w:pPr>
        <w:numPr>
          <w:ilvl w:val="0"/>
          <w:numId w:val="21"/>
        </w:numPr>
        <w:jc w:val="both"/>
      </w:pPr>
      <w:r w:rsidRPr="006B5B23">
        <w:t xml:space="preserve">Vyradený majetok likviduje likvidačná komisia, ktorá je trojčlenná. Likvidačná komisia     zabezpečí likvidáciu vyradeného majetku určeným spôsobom. </w:t>
      </w:r>
    </w:p>
    <w:p w:rsidR="006B5B23" w:rsidRPr="006B5B23" w:rsidRDefault="006B5B23" w:rsidP="006B5B23">
      <w:pPr>
        <w:numPr>
          <w:ilvl w:val="0"/>
          <w:numId w:val="21"/>
        </w:numPr>
        <w:jc w:val="both"/>
      </w:pPr>
      <w:r w:rsidRPr="006B5B23">
        <w:t>Doklady o uskutočnení likvidácie sú súčasťou účtovnej a analytickej evidencie.</w:t>
      </w:r>
    </w:p>
    <w:p w:rsidR="006B5B23" w:rsidRPr="006B5B23" w:rsidRDefault="006B5B23" w:rsidP="006B5B23">
      <w:pPr>
        <w:jc w:val="both"/>
        <w:rPr>
          <w:b/>
        </w:rPr>
      </w:pPr>
    </w:p>
    <w:p w:rsidR="006B5B23" w:rsidRPr="006B5B23" w:rsidRDefault="006B5B23" w:rsidP="006B5B23">
      <w:pPr>
        <w:jc w:val="both"/>
      </w:pPr>
      <w:r w:rsidRPr="006B5B23">
        <w:rPr>
          <w:b/>
        </w:rPr>
        <w:t>Článok 7</w:t>
      </w:r>
    </w:p>
    <w:p w:rsidR="006B5B23" w:rsidRPr="006B5B23" w:rsidRDefault="006B5B23" w:rsidP="006B5B23">
      <w:pPr>
        <w:jc w:val="both"/>
      </w:pPr>
      <w:r w:rsidRPr="006B5B23">
        <w:rPr>
          <w:b/>
        </w:rPr>
        <w:t>Účtovanie majetku</w:t>
      </w:r>
    </w:p>
    <w:p w:rsidR="006B5B23" w:rsidRPr="006B5B23" w:rsidRDefault="006B5B23" w:rsidP="006B5B23">
      <w:pPr>
        <w:numPr>
          <w:ilvl w:val="0"/>
          <w:numId w:val="30"/>
        </w:numPr>
        <w:jc w:val="both"/>
      </w:pPr>
      <w:r w:rsidRPr="006B5B23">
        <w:t>Majetok sa účtuje v zmysle platných Postupov účtovania v účtovej triede 0 - Dlhodobý majetok.</w:t>
      </w:r>
    </w:p>
    <w:p w:rsidR="006B5B23" w:rsidRPr="006B5B23" w:rsidRDefault="006B5B23" w:rsidP="006B5B23">
      <w:pPr>
        <w:jc w:val="both"/>
        <w:rPr>
          <w:b/>
        </w:rPr>
      </w:pPr>
    </w:p>
    <w:p w:rsidR="006B5B23" w:rsidRPr="006B5B23" w:rsidRDefault="006B5B23" w:rsidP="006B5B23">
      <w:pPr>
        <w:jc w:val="both"/>
        <w:rPr>
          <w:b/>
        </w:rPr>
      </w:pPr>
    </w:p>
    <w:p w:rsidR="006B5B23" w:rsidRPr="006B5B23" w:rsidRDefault="006B5B23" w:rsidP="006B5B23">
      <w:pPr>
        <w:jc w:val="both"/>
      </w:pPr>
      <w:r w:rsidRPr="006B5B23">
        <w:rPr>
          <w:b/>
        </w:rPr>
        <w:t xml:space="preserve">                                                        Článok 8</w:t>
      </w:r>
    </w:p>
    <w:p w:rsidR="006B5B23" w:rsidRPr="006B5B23" w:rsidRDefault="006B5B23" w:rsidP="006B5B23">
      <w:pPr>
        <w:jc w:val="both"/>
      </w:pPr>
      <w:r w:rsidRPr="006B5B23">
        <w:rPr>
          <w:b/>
        </w:rPr>
        <w:t xml:space="preserve"> Záverečné ustanovenia</w:t>
      </w:r>
    </w:p>
    <w:p w:rsidR="006B5B23" w:rsidRPr="006B5B23" w:rsidRDefault="006B5B23" w:rsidP="006B5B23">
      <w:pPr>
        <w:jc w:val="both"/>
        <w:rPr>
          <w:b/>
        </w:rPr>
      </w:pPr>
    </w:p>
    <w:p w:rsidR="006B5B23" w:rsidRPr="006B5B23" w:rsidRDefault="006B5B23" w:rsidP="006B5B23">
      <w:pPr>
        <w:jc w:val="both"/>
      </w:pPr>
      <w:r w:rsidRPr="006B5B23">
        <w:t xml:space="preserve">1. Tento predpis je súčasťou vnútorného kontrolného systému organizácie a podlieha    aktualizácii podľa potrieb a zmien kompetencií a zodpovedností. </w:t>
      </w:r>
    </w:p>
    <w:p w:rsidR="006B5B23" w:rsidRPr="006B5B23" w:rsidRDefault="006B5B23" w:rsidP="006B5B23">
      <w:pPr>
        <w:jc w:val="both"/>
      </w:pPr>
    </w:p>
    <w:p w:rsidR="006B5B23" w:rsidRPr="006B5B23" w:rsidRDefault="006B5B23" w:rsidP="006B5B23">
      <w:pPr>
        <w:jc w:val="both"/>
      </w:pPr>
      <w:r w:rsidRPr="006B5B23">
        <w:t>2. Ustanoveniami tohto predpisu sú povinní riadiť sa všetci zamestnanci organizácie.</w:t>
      </w:r>
    </w:p>
    <w:p w:rsidR="00344AA8" w:rsidRDefault="00344AA8" w:rsidP="006B5B23">
      <w:pPr>
        <w:jc w:val="both"/>
      </w:pPr>
    </w:p>
    <w:sectPr w:rsidR="00344AA8" w:rsidSect="00907DD9">
      <w:headerReference w:type="default" r:id="rId8"/>
      <w:footerReference w:type="default" r:id="rId9"/>
      <w:headerReference w:type="first" r:id="rId10"/>
      <w:pgSz w:w="11906" w:h="16838"/>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59D4" w:rsidRDefault="00D059D4" w:rsidP="002C1323">
      <w:pPr>
        <w:spacing w:after="0" w:line="240" w:lineRule="auto"/>
      </w:pPr>
      <w:r>
        <w:separator/>
      </w:r>
    </w:p>
  </w:endnote>
  <w:endnote w:type="continuationSeparator" w:id="0">
    <w:p w:rsidR="00D059D4" w:rsidRDefault="00D059D4" w:rsidP="002C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lue Ridge Heavy S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244593"/>
      <w:docPartObj>
        <w:docPartGallery w:val="Page Numbers (Bottom of Page)"/>
        <w:docPartUnique/>
      </w:docPartObj>
    </w:sdtPr>
    <w:sdtEndPr/>
    <w:sdtContent>
      <w:p w:rsidR="00885AEF" w:rsidRDefault="00E243A4">
        <w:pPr>
          <w:pStyle w:val="Pta"/>
          <w:jc w:val="center"/>
        </w:pPr>
        <w:r>
          <w:fldChar w:fldCharType="begin"/>
        </w:r>
        <w:r w:rsidR="00885AEF">
          <w:instrText>PAGE   \* MERGEFORMAT</w:instrText>
        </w:r>
        <w:r>
          <w:fldChar w:fldCharType="separate"/>
        </w:r>
        <w:r w:rsidR="00A37E2F">
          <w:rPr>
            <w:noProof/>
          </w:rPr>
          <w:t>2</w:t>
        </w:r>
        <w:r>
          <w:fldChar w:fldCharType="end"/>
        </w:r>
      </w:p>
    </w:sdtContent>
  </w:sdt>
  <w:p w:rsidR="00885AEF" w:rsidRDefault="00885A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59D4" w:rsidRDefault="00D059D4" w:rsidP="002C1323">
      <w:pPr>
        <w:spacing w:after="0" w:line="240" w:lineRule="auto"/>
      </w:pPr>
      <w:r>
        <w:separator/>
      </w:r>
    </w:p>
  </w:footnote>
  <w:footnote w:type="continuationSeparator" w:id="0">
    <w:p w:rsidR="00D059D4" w:rsidRDefault="00D059D4" w:rsidP="002C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5A63" w:rsidRPr="00560268" w:rsidRDefault="00A2553C" w:rsidP="00E95A63">
    <w:pPr>
      <w:pBdr>
        <w:bottom w:val="single" w:sz="4" w:space="1" w:color="auto"/>
      </w:pBdr>
      <w:tabs>
        <w:tab w:val="center" w:pos="4536"/>
        <w:tab w:val="right" w:pos="9072"/>
      </w:tabs>
      <w:spacing w:after="0" w:line="240" w:lineRule="auto"/>
      <w:rPr>
        <w:sz w:val="24"/>
        <w:szCs w:val="24"/>
      </w:rPr>
    </w:pPr>
    <w:r>
      <w:t>„IPEĽ“ ZSS Leľa</w:t>
    </w:r>
    <w:r w:rsidR="00E95A63" w:rsidRPr="00E95A63">
      <w:rPr>
        <w:sz w:val="24"/>
        <w:szCs w:val="24"/>
      </w:rPr>
      <w:ptab w:relativeTo="margin" w:alignment="center" w:leader="none"/>
    </w:r>
    <w:r w:rsidR="00595B4F">
      <w:rPr>
        <w:sz w:val="24"/>
        <w:szCs w:val="24"/>
      </w:rPr>
      <w:t>Smernic</w:t>
    </w:r>
    <w:r w:rsidR="00344AA8">
      <w:rPr>
        <w:sz w:val="24"/>
        <w:szCs w:val="24"/>
      </w:rPr>
      <w:t xml:space="preserve">a </w:t>
    </w:r>
    <w:r w:rsidR="006B5B23">
      <w:rPr>
        <w:sz w:val="24"/>
        <w:szCs w:val="24"/>
      </w:rPr>
      <w:t>o evidovaní, odpisovaní a účtovaní majetku</w:t>
    </w:r>
    <w:r w:rsidR="00E95A63" w:rsidRPr="00E95A63">
      <w:rPr>
        <w:sz w:val="24"/>
        <w:szCs w:val="24"/>
      </w:rPr>
      <w:ptab w:relativeTo="margin" w:alignment="right" w:leader="none"/>
    </w:r>
    <w:r w:rsidR="00E95A63" w:rsidRPr="00E95A63">
      <w:rPr>
        <w:sz w:val="24"/>
        <w:szCs w:val="24"/>
      </w:rPr>
      <w:t xml:space="preserve">Strana </w:t>
    </w:r>
    <w:r w:rsidR="00E243A4" w:rsidRPr="00E95A63">
      <w:rPr>
        <w:bCs/>
        <w:sz w:val="24"/>
        <w:szCs w:val="24"/>
      </w:rPr>
      <w:fldChar w:fldCharType="begin"/>
    </w:r>
    <w:r w:rsidR="00E95A63" w:rsidRPr="00E95A63">
      <w:rPr>
        <w:bCs/>
        <w:sz w:val="24"/>
        <w:szCs w:val="24"/>
      </w:rPr>
      <w:instrText>PAGE  \* Arabic  \* MERGEFORMAT</w:instrText>
    </w:r>
    <w:r w:rsidR="00E243A4" w:rsidRPr="00E95A63">
      <w:rPr>
        <w:bCs/>
        <w:sz w:val="24"/>
        <w:szCs w:val="24"/>
      </w:rPr>
      <w:fldChar w:fldCharType="separate"/>
    </w:r>
    <w:r w:rsidR="00A37E2F">
      <w:rPr>
        <w:bCs/>
        <w:noProof/>
        <w:sz w:val="24"/>
        <w:szCs w:val="24"/>
      </w:rPr>
      <w:t>2</w:t>
    </w:r>
    <w:r w:rsidR="00E243A4" w:rsidRPr="00E95A63">
      <w:rPr>
        <w:bCs/>
        <w:sz w:val="24"/>
        <w:szCs w:val="24"/>
      </w:rPr>
      <w:fldChar w:fldCharType="end"/>
    </w:r>
    <w:r w:rsidR="00E95A63" w:rsidRPr="00E95A63">
      <w:rPr>
        <w:sz w:val="24"/>
        <w:szCs w:val="24"/>
      </w:rPr>
      <w:t xml:space="preserve"> z </w:t>
    </w:r>
    <w:r w:rsidR="00D059D4">
      <w:fldChar w:fldCharType="begin"/>
    </w:r>
    <w:r w:rsidR="00D059D4">
      <w:instrText>NUMPAGES  \* Arabic  \* MERGEFORMAT</w:instrText>
    </w:r>
    <w:r w:rsidR="00D059D4">
      <w:fldChar w:fldCharType="separate"/>
    </w:r>
    <w:r w:rsidR="00A37E2F" w:rsidRPr="00A37E2F">
      <w:rPr>
        <w:bCs/>
        <w:noProof/>
        <w:sz w:val="24"/>
        <w:szCs w:val="24"/>
      </w:rPr>
      <w:t>11</w:t>
    </w:r>
    <w:r w:rsidR="00D059D4">
      <w:rPr>
        <w:bCs/>
        <w:noProof/>
        <w:sz w:val="24"/>
        <w:szCs w:val="24"/>
      </w:rPr>
      <w:fldChar w:fldCharType="end"/>
    </w:r>
  </w:p>
  <w:p w:rsidR="00E95A63" w:rsidRDefault="00E95A6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46" w:type="dxa"/>
      <w:tblInd w:w="5" w:type="dxa"/>
      <w:tblCellMar>
        <w:left w:w="0" w:type="dxa"/>
        <w:right w:w="0" w:type="dxa"/>
      </w:tblCellMar>
      <w:tblLook w:val="0000" w:firstRow="0" w:lastRow="0" w:firstColumn="0" w:lastColumn="0" w:noHBand="0" w:noVBand="0"/>
    </w:tblPr>
    <w:tblGrid>
      <w:gridCol w:w="1550"/>
      <w:gridCol w:w="6237"/>
      <w:gridCol w:w="1559"/>
    </w:tblGrid>
    <w:tr w:rsidR="00E95A63" w:rsidRPr="00E95A63" w:rsidTr="00A2553C">
      <w:trPr>
        <w:cantSplit/>
        <w:trHeight w:hRule="exact" w:val="1570"/>
      </w:trPr>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5A63" w:rsidRPr="00E95A63" w:rsidRDefault="00A2553C" w:rsidP="00E95A63">
          <w:pPr>
            <w:spacing w:after="0" w:line="300" w:lineRule="auto"/>
            <w:jc w:val="center"/>
            <w:rPr>
              <w:rFonts w:ascii="Arial" w:eastAsiaTheme="minorEastAsia" w:hAnsi="Arial" w:cs="Arial"/>
              <w:sz w:val="24"/>
              <w:szCs w:val="24"/>
            </w:rPr>
          </w:pPr>
          <w:r>
            <w:rPr>
              <w:rFonts w:ascii="Segoe Script" w:hAnsi="Segoe Script"/>
              <w:b/>
              <w:i/>
              <w:noProof/>
              <w:sz w:val="24"/>
              <w:szCs w:val="24"/>
              <w:lang w:eastAsia="sk-SK"/>
            </w:rPr>
            <w:drawing>
              <wp:inline distT="0" distB="0" distL="0" distR="0" wp14:anchorId="7DAA0AF9" wp14:editId="7F73DE46">
                <wp:extent cx="962660" cy="120967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peľ Leľa.png"/>
                        <pic:cNvPicPr/>
                      </pic:nvPicPr>
                      <pic:blipFill>
                        <a:blip r:embed="rId1">
                          <a:extLst>
                            <a:ext uri="{28A0092B-C50C-407E-A947-70E740481C1C}">
                              <a14:useLocalDpi xmlns:a14="http://schemas.microsoft.com/office/drawing/2010/main" val="0"/>
                            </a:ext>
                          </a:extLst>
                        </a:blip>
                        <a:stretch>
                          <a:fillRect/>
                        </a:stretch>
                      </pic:blipFill>
                      <pic:spPr>
                        <a:xfrm>
                          <a:off x="0" y="0"/>
                          <a:ext cx="981559" cy="1233423"/>
                        </a:xfrm>
                        <a:prstGeom prst="rect">
                          <a:avLst/>
                        </a:prstGeom>
                      </pic:spPr>
                    </pic:pic>
                  </a:graphicData>
                </a:graphic>
              </wp:inline>
            </w:drawing>
          </w:r>
        </w:p>
      </w:tc>
      <w:tc>
        <w:tcPr>
          <w:tcW w:w="6237" w:type="dxa"/>
          <w:tcBorders>
            <w:top w:val="single" w:sz="4" w:space="0" w:color="000000"/>
            <w:left w:val="single" w:sz="4" w:space="0" w:color="000000"/>
            <w:bottom w:val="single" w:sz="4" w:space="0" w:color="000000"/>
          </w:tcBorders>
          <w:vAlign w:val="center"/>
        </w:tcPr>
        <w:p w:rsidR="00A2553C" w:rsidRPr="000D4578" w:rsidRDefault="00A2553C" w:rsidP="00A2553C">
          <w:pPr>
            <w:suppressAutoHyphens/>
            <w:spacing w:after="0" w:line="240" w:lineRule="auto"/>
            <w:jc w:val="center"/>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pP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„IPE</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Ľ</w:t>
          </w:r>
          <w:r w:rsidRPr="000D4578">
            <w:rPr>
              <w:rFonts w:ascii="Bookman Old Style" w:eastAsia="Times New Roman" w:hAnsi="Bookman Old Style" w:cs="Blue Ridge Heavy SF"/>
              <w:b/>
              <w:outline/>
              <w:color w:val="7F7F7F"/>
              <w:sz w:val="32"/>
              <w:szCs w:val="32"/>
              <w:lang w:eastAsia="sk-SK"/>
              <w14:textOutline w14:w="9525" w14:cap="flat" w14:cmpd="sng" w14:algn="ctr">
                <w14:solidFill>
                  <w14:srgbClr w14:val="7F7F7F"/>
                </w14:solidFill>
                <w14:prstDash w14:val="solid"/>
                <w14:round/>
              </w14:textOutline>
              <w14:textFill>
                <w14:noFill/>
              </w14:textFill>
            </w:rPr>
            <w:t>“</w:t>
          </w:r>
        </w:p>
        <w:p w:rsidR="00A2553C" w:rsidRPr="00A2553C" w:rsidRDefault="00A2553C" w:rsidP="00A2553C">
          <w:pPr>
            <w:pBdr>
              <w:bottom w:val="single" w:sz="12" w:space="1" w:color="00000A"/>
            </w:pBdr>
            <w:suppressAutoHyphens/>
            <w:spacing w:after="0" w:line="240" w:lineRule="auto"/>
            <w:jc w:val="center"/>
            <w:rPr>
              <w:rFonts w:ascii="Calibri" w:eastAsia="Calibri" w:hAnsi="Calibri" w:cs="Calibri"/>
              <w:color w:val="00000A"/>
            </w:rPr>
          </w:pP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ZARIADENIE SOCIÁLNYCH SLU</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Ž</w:t>
          </w: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IEB LE</w:t>
          </w:r>
          <w:r w:rsidRPr="000D4578">
            <w:rPr>
              <w:rFonts w:ascii="Bookman Old Style" w:eastAsia="Times New Roman" w:hAnsi="Bookman Old Style" w:cs="Arial"/>
              <w:b/>
              <w:outline/>
              <w:color w:val="7F7F7F"/>
              <w:sz w:val="32"/>
              <w:szCs w:val="32"/>
              <w:lang w:eastAsia="sk-SK"/>
              <w14:textOutline w14:w="9525" w14:cap="flat" w14:cmpd="sng" w14:algn="ctr">
                <w14:solidFill>
                  <w14:srgbClr w14:val="7F7F7F"/>
                </w14:solidFill>
                <w14:prstDash w14:val="solid"/>
                <w14:round/>
              </w14:textOutline>
              <w14:textFill>
                <w14:noFill/>
              </w14:textFill>
            </w:rPr>
            <w:t>Ľ</w:t>
          </w:r>
          <w:r w:rsidRPr="000D4578">
            <w:rPr>
              <w:rFonts w:ascii="Bookman Old Style" w:eastAsia="Times New Roman" w:hAnsi="Bookman Old Style" w:cs="Times New Roman"/>
              <w:b/>
              <w:outline/>
              <w:color w:val="7F7F7F"/>
              <w:sz w:val="32"/>
              <w:szCs w:val="32"/>
              <w:lang w:eastAsia="sk-SK"/>
              <w14:textOutline w14:w="9525" w14:cap="flat" w14:cmpd="sng" w14:algn="ctr">
                <w14:solidFill>
                  <w14:srgbClr w14:val="7F7F7F"/>
                </w14:solidFill>
                <w14:prstDash w14:val="solid"/>
                <w14:round/>
              </w14:textOutline>
              <w14:textFill>
                <w14:noFill/>
              </w14:textFill>
            </w:rPr>
            <w:t xml:space="preserve">A </w:t>
          </w:r>
        </w:p>
        <w:p w:rsidR="00A2553C" w:rsidRPr="000D4578" w:rsidRDefault="00A2553C" w:rsidP="00A2553C">
          <w:pPr>
            <w:pBdr>
              <w:bottom w:val="single" w:sz="12" w:space="1" w:color="00000A"/>
            </w:pBdr>
            <w:suppressAutoHyphens/>
            <w:spacing w:after="0" w:line="240" w:lineRule="auto"/>
            <w:jc w:val="center"/>
            <w:rPr>
              <w:rFonts w:ascii="Bookman Old Style" w:eastAsia="Times New Roman" w:hAnsi="Bookman Old Style" w:cs="Times New Roman"/>
              <w:b/>
              <w:outline/>
              <w:color w:val="7F7F7F"/>
              <w:sz w:val="28"/>
              <w:szCs w:val="28"/>
              <w:lang w:eastAsia="sk-SK"/>
              <w14:textOutline w14:w="9525" w14:cap="flat" w14:cmpd="sng" w14:algn="ctr">
                <w14:solidFill>
                  <w14:srgbClr w14:val="7F7F7F"/>
                </w14:solidFill>
                <w14:prstDash w14:val="solid"/>
                <w14:round/>
              </w14:textOutline>
              <w14:textFill>
                <w14:noFill/>
              </w14:textFill>
            </w:rPr>
          </w:pPr>
          <w:r w:rsidRPr="000D4578">
            <w:rPr>
              <w:rFonts w:ascii="Bookman Old Style" w:eastAsia="Times New Roman" w:hAnsi="Bookman Old Style" w:cs="Times New Roman"/>
              <w:b/>
              <w:outline/>
              <w:color w:val="7F7F7F"/>
              <w:sz w:val="28"/>
              <w:szCs w:val="28"/>
              <w:lang w:eastAsia="sk-SK"/>
              <w14:textOutline w14:w="9525" w14:cap="flat" w14:cmpd="sng" w14:algn="ctr">
                <w14:solidFill>
                  <w14:srgbClr w14:val="7F7F7F"/>
                </w14:solidFill>
                <w14:prstDash w14:val="solid"/>
                <w14:round/>
              </w14:textOutline>
              <w14:textFill>
                <w14:noFill/>
              </w14:textFill>
            </w:rPr>
            <w:t>943 65 p. Kamenica nad Hronom</w:t>
          </w:r>
        </w:p>
        <w:p w:rsidR="00A2553C" w:rsidRDefault="00A2553C" w:rsidP="00E95A63">
          <w:pPr>
            <w:spacing w:after="0" w:line="240" w:lineRule="auto"/>
            <w:jc w:val="center"/>
            <w:rPr>
              <w:rFonts w:eastAsia="Times New Roman" w:cstheme="minorHAnsi"/>
              <w:b/>
              <w:color w:val="000000"/>
              <w:sz w:val="24"/>
              <w:szCs w:val="24"/>
              <w:lang w:eastAsia="ar-SA"/>
            </w:rPr>
          </w:pPr>
        </w:p>
        <w:p w:rsidR="00E95A63" w:rsidRPr="00E95A63" w:rsidRDefault="00E95A63" w:rsidP="00E95A63">
          <w:pPr>
            <w:spacing w:after="0" w:line="240" w:lineRule="auto"/>
            <w:jc w:val="center"/>
            <w:rPr>
              <w:rFonts w:eastAsia="Times New Roman" w:cstheme="minorHAnsi"/>
              <w:b/>
              <w:bCs/>
              <w:color w:val="000000"/>
              <w:sz w:val="24"/>
              <w:szCs w:val="24"/>
              <w:lang w:eastAsia="ar-SA"/>
            </w:rPr>
          </w:pPr>
          <w:r w:rsidRPr="00E95A63">
            <w:rPr>
              <w:rFonts w:eastAsia="Times New Roman" w:cstheme="minorHAnsi"/>
              <w:b/>
              <w:color w:val="000000"/>
              <w:sz w:val="24"/>
              <w:szCs w:val="24"/>
              <w:lang w:eastAsia="ar-SA"/>
            </w:rPr>
            <w:t>v zriaďovateľskej pôsobnosti NSK</w:t>
          </w:r>
        </w:p>
      </w:tc>
      <w:tc>
        <w:tcPr>
          <w:tcW w:w="1559" w:type="dxa"/>
          <w:tcBorders>
            <w:top w:val="single" w:sz="4" w:space="0" w:color="000000"/>
            <w:left w:val="single" w:sz="4" w:space="0" w:color="000000"/>
            <w:bottom w:val="single" w:sz="4" w:space="0" w:color="000000"/>
            <w:right w:val="single" w:sz="4" w:space="0" w:color="000000"/>
          </w:tcBorders>
          <w:vAlign w:val="center"/>
        </w:tcPr>
        <w:p w:rsidR="00E95A63" w:rsidRPr="00E95A63" w:rsidRDefault="00E95A63" w:rsidP="00E95A63">
          <w:pPr>
            <w:tabs>
              <w:tab w:val="center" w:pos="4536"/>
              <w:tab w:val="right" w:pos="9072"/>
            </w:tabs>
            <w:spacing w:after="0" w:line="240" w:lineRule="auto"/>
            <w:jc w:val="center"/>
            <w:rPr>
              <w:rFonts w:eastAsiaTheme="minorEastAsia"/>
              <w:sz w:val="21"/>
              <w:szCs w:val="21"/>
            </w:rPr>
          </w:pPr>
          <w:r w:rsidRPr="00E95A63">
            <w:rPr>
              <w:rFonts w:eastAsiaTheme="minorEastAsia"/>
              <w:sz w:val="21"/>
              <w:szCs w:val="21"/>
            </w:rPr>
            <w:t>Verzia 01</w:t>
          </w:r>
        </w:p>
        <w:p w:rsidR="00E95A63" w:rsidRPr="00E95A63" w:rsidRDefault="00E95A63" w:rsidP="00E95A63">
          <w:pPr>
            <w:spacing w:after="0" w:line="300" w:lineRule="auto"/>
            <w:rPr>
              <w:rFonts w:eastAsiaTheme="minorEastAsia" w:cs="Arial"/>
              <w:sz w:val="20"/>
              <w:szCs w:val="20"/>
            </w:rPr>
          </w:pPr>
          <w:r w:rsidRPr="00E95A63">
            <w:rPr>
              <w:rFonts w:eastAsiaTheme="minorEastAsia"/>
              <w:sz w:val="21"/>
              <w:szCs w:val="21"/>
            </w:rPr>
            <w:t>Dňa:</w:t>
          </w:r>
        </w:p>
      </w:tc>
    </w:tr>
    <w:tr w:rsidR="00E95A63" w:rsidRPr="00E95A63" w:rsidTr="00B41382">
      <w:trPr>
        <w:cantSplit/>
        <w:trHeight w:val="547"/>
      </w:trPr>
      <w:tc>
        <w:tcPr>
          <w:tcW w:w="1550" w:type="dxa"/>
          <w:vMerge/>
          <w:tcBorders>
            <w:left w:val="single" w:sz="4" w:space="0" w:color="000000"/>
            <w:bottom w:val="single" w:sz="4" w:space="0" w:color="000000"/>
          </w:tcBorders>
          <w:shd w:val="clear" w:color="auto" w:fill="auto"/>
          <w:vAlign w:val="center"/>
        </w:tcPr>
        <w:p w:rsidR="00E95A63" w:rsidRPr="00E95A63" w:rsidRDefault="00E95A63" w:rsidP="00E95A63">
          <w:pPr>
            <w:widowControl w:val="0"/>
            <w:spacing w:line="300" w:lineRule="auto"/>
            <w:rPr>
              <w:rFonts w:eastAsiaTheme="minorEastAsia" w:cs="Arial"/>
              <w:sz w:val="18"/>
              <w:szCs w:val="18"/>
            </w:rPr>
          </w:pPr>
        </w:p>
      </w:tc>
      <w:tc>
        <w:tcPr>
          <w:tcW w:w="6237" w:type="dxa"/>
          <w:tcBorders>
            <w:left w:val="single" w:sz="4" w:space="0" w:color="000000"/>
            <w:bottom w:val="single" w:sz="4" w:space="0" w:color="000000"/>
          </w:tcBorders>
          <w:shd w:val="clear" w:color="auto" w:fill="auto"/>
          <w:vAlign w:val="center"/>
        </w:tcPr>
        <w:p w:rsidR="00E95A63" w:rsidRPr="00E95A63" w:rsidRDefault="00E95A63" w:rsidP="00E95A63">
          <w:pPr>
            <w:spacing w:after="0" w:line="300" w:lineRule="auto"/>
            <w:ind w:firstLine="18"/>
            <w:jc w:val="center"/>
            <w:rPr>
              <w:rFonts w:eastAsiaTheme="minorEastAsia" w:cstheme="minorHAnsi"/>
              <w:sz w:val="24"/>
              <w:szCs w:val="24"/>
            </w:rPr>
          </w:pPr>
          <w:r w:rsidRPr="00E95A63">
            <w:rPr>
              <w:rFonts w:eastAsiaTheme="minorEastAsia" w:cstheme="minorHAnsi"/>
              <w:sz w:val="24"/>
              <w:szCs w:val="24"/>
            </w:rPr>
            <w:t>Interný dokument - Smernica</w:t>
          </w:r>
        </w:p>
      </w:tc>
      <w:tc>
        <w:tcPr>
          <w:tcW w:w="1559" w:type="dxa"/>
          <w:tcBorders>
            <w:left w:val="single" w:sz="4" w:space="0" w:color="000000"/>
            <w:bottom w:val="single" w:sz="4" w:space="0" w:color="000000"/>
            <w:right w:val="single" w:sz="4" w:space="0" w:color="000000"/>
          </w:tcBorders>
          <w:vAlign w:val="center"/>
        </w:tcPr>
        <w:p w:rsidR="00E95A63" w:rsidRPr="00E95A63" w:rsidRDefault="00E95A63" w:rsidP="00E95A63">
          <w:pPr>
            <w:spacing w:after="0" w:line="300" w:lineRule="auto"/>
            <w:ind w:firstLine="10"/>
            <w:jc w:val="center"/>
            <w:rPr>
              <w:rFonts w:eastAsiaTheme="minorEastAsia" w:cs="Arial"/>
              <w:sz w:val="20"/>
              <w:szCs w:val="20"/>
            </w:rPr>
          </w:pPr>
          <w:r w:rsidRPr="00E95A63">
            <w:rPr>
              <w:rFonts w:eastAsiaTheme="minorEastAsia"/>
              <w:sz w:val="21"/>
              <w:szCs w:val="21"/>
            </w:rPr>
            <w:t xml:space="preserve">Počet strán: </w:t>
          </w:r>
        </w:p>
      </w:tc>
    </w:tr>
  </w:tbl>
  <w:p w:rsidR="00E95A63" w:rsidRDefault="00E95A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08"/>
        </w:tabs>
        <w:ind w:left="720" w:hanging="360"/>
      </w:pPr>
      <w:rPr>
        <w:rFonts w:hint="default"/>
        <w:sz w:val="24"/>
      </w:rPr>
    </w:lvl>
    <w:lvl w:ilvl="1">
      <w:start w:val="5"/>
      <w:numFmt w:val="decimal"/>
      <w:lvlText w:val="%2."/>
      <w:lvlJc w:val="left"/>
      <w:pPr>
        <w:tabs>
          <w:tab w:val="num" w:pos="420"/>
        </w:tabs>
        <w:ind w:left="420" w:hanging="363"/>
      </w:pPr>
      <w:rPr>
        <w:rFonts w:ascii="Times New Roman" w:hAnsi="Times New Roman" w:cs="Times New Roman"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08"/>
        </w:tabs>
        <w:ind w:left="720" w:hanging="360"/>
      </w:pPr>
      <w:rPr>
        <w:rFonts w:hint="default"/>
      </w:rPr>
    </w:lvl>
    <w:lvl w:ilvl="1">
      <w:start w:val="1"/>
      <w:numFmt w:val="decimal"/>
      <w:lvlText w:val="%2."/>
      <w:lvlJc w:val="left"/>
      <w:pPr>
        <w:tabs>
          <w:tab w:val="num" w:pos="420"/>
        </w:tabs>
        <w:ind w:left="420" w:hanging="363"/>
      </w:pPr>
      <w:rPr>
        <w:rFonts w:ascii="Times New Roman" w:hAnsi="Times New Roman" w:cs="Times New Roman"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08"/>
        </w:tabs>
        <w:ind w:left="720" w:hanging="360"/>
      </w:pPr>
      <w:rPr>
        <w:rFonts w:hint="default"/>
      </w:rPr>
    </w:lvl>
  </w:abstractNum>
  <w:abstractNum w:abstractNumId="4" w15:restartNumberingAfterBreak="0">
    <w:nsid w:val="00000005"/>
    <w:multiLevelType w:val="multilevel"/>
    <w:tmpl w:val="00000005"/>
    <w:name w:val="WW8Num5"/>
    <w:lvl w:ilvl="0">
      <w:start w:val="8"/>
      <w:numFmt w:val="decimal"/>
      <w:lvlText w:val="%1."/>
      <w:lvlJc w:val="left"/>
      <w:pPr>
        <w:tabs>
          <w:tab w:val="num" w:pos="420"/>
        </w:tabs>
        <w:ind w:left="420" w:hanging="363"/>
      </w:pPr>
      <w:rPr>
        <w:rFonts w:ascii="Times New Roman" w:hAnsi="Times New Roman" w:cs="Times New Roman" w:hint="default"/>
      </w:rPr>
    </w:lvl>
    <w:lvl w:ilvl="1">
      <w:start w:val="91"/>
      <w:numFmt w:val="bullet"/>
      <w:lvlText w:val="-"/>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08"/>
        </w:tabs>
        <w:ind w:left="417" w:hanging="360"/>
      </w:pPr>
      <w:rPr>
        <w:rFonts w:ascii="Times New Roman" w:hAnsi="Times New Roman" w:cs="Times New Roman" w:hint="default"/>
        <w:sz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420"/>
        </w:tabs>
        <w:ind w:left="420" w:hanging="363"/>
      </w:pPr>
      <w:rPr>
        <w:rFonts w:ascii="Times New Roman" w:hAnsi="Times New Roman" w:cs="Times New Roman" w:hint="default"/>
        <w:color w:val="auto"/>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708"/>
        </w:tabs>
        <w:ind w:left="720" w:hanging="360"/>
      </w:pPr>
      <w:rPr>
        <w:rFonts w:hint="default"/>
        <w:sz w:val="24"/>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08"/>
        </w:tabs>
        <w:ind w:left="720" w:hanging="360"/>
      </w:pPr>
      <w:rPr>
        <w:rFonts w:hint="default"/>
        <w:sz w:val="24"/>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08"/>
        </w:tabs>
        <w:ind w:left="720" w:hanging="360"/>
      </w:pPr>
      <w:rPr>
        <w:rFonts w:hint="default"/>
        <w:sz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420"/>
        </w:tabs>
        <w:ind w:left="420" w:hanging="363"/>
      </w:pPr>
      <w:rPr>
        <w:rFonts w:ascii="Times New Roman" w:hAnsi="Times New Roman" w:cs="Times New Roman" w:hint="default"/>
        <w:sz w:val="24"/>
      </w:rPr>
    </w:lvl>
  </w:abstractNum>
  <w:abstractNum w:abstractNumId="11" w15:restartNumberingAfterBreak="0">
    <w:nsid w:val="0000000C"/>
    <w:multiLevelType w:val="singleLevel"/>
    <w:tmpl w:val="0000000C"/>
    <w:name w:val="WW8Num12"/>
    <w:lvl w:ilvl="0">
      <w:start w:val="7"/>
      <w:numFmt w:val="bullet"/>
      <w:lvlText w:val="-"/>
      <w:lvlJc w:val="left"/>
      <w:pPr>
        <w:tabs>
          <w:tab w:val="num" w:pos="600"/>
        </w:tabs>
        <w:ind w:left="600" w:hanging="360"/>
      </w:pPr>
      <w:rPr>
        <w:rFonts w:ascii="Times New Roman" w:hAnsi="Times New Roman" w:cs="Times New Roman"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420"/>
        </w:tabs>
        <w:ind w:left="420" w:hanging="363"/>
      </w:pPr>
      <w:rPr>
        <w:rFonts w:ascii="Times New Roman" w:hAnsi="Times New Roman" w:cs="Times New Roman" w:hint="default"/>
      </w:rPr>
    </w:lvl>
  </w:abstractNum>
  <w:abstractNum w:abstractNumId="13" w15:restartNumberingAfterBreak="0">
    <w:nsid w:val="0000000E"/>
    <w:multiLevelType w:val="singleLevel"/>
    <w:tmpl w:val="0000000E"/>
    <w:name w:val="WW8Num14"/>
    <w:lvl w:ilvl="0">
      <w:start w:val="1"/>
      <w:numFmt w:val="decimal"/>
      <w:lvlText w:val="%1."/>
      <w:lvlJc w:val="left"/>
      <w:pPr>
        <w:tabs>
          <w:tab w:val="num" w:pos="420"/>
        </w:tabs>
        <w:ind w:left="420" w:hanging="363"/>
      </w:pPr>
      <w:rPr>
        <w:rFonts w:ascii="Times New Roman" w:hAnsi="Times New Roman" w:cs="Times New Roman" w:hint="default"/>
        <w:sz w:val="24"/>
      </w:rPr>
    </w:lvl>
  </w:abstractNum>
  <w:abstractNum w:abstractNumId="14" w15:restartNumberingAfterBreak="0">
    <w:nsid w:val="0000000F"/>
    <w:multiLevelType w:val="singleLevel"/>
    <w:tmpl w:val="0000000F"/>
    <w:name w:val="WW8Num15"/>
    <w:lvl w:ilvl="0">
      <w:start w:val="1"/>
      <w:numFmt w:val="decimal"/>
      <w:lvlText w:val="%1."/>
      <w:lvlJc w:val="left"/>
      <w:pPr>
        <w:tabs>
          <w:tab w:val="num" w:pos="420"/>
        </w:tabs>
        <w:ind w:left="420" w:hanging="363"/>
      </w:pPr>
      <w:rPr>
        <w:rFonts w:ascii="Times New Roman" w:hAnsi="Times New Roman" w:cs="Times New Roman" w:hint="default"/>
      </w:rPr>
    </w:lvl>
  </w:abstractNum>
  <w:abstractNum w:abstractNumId="15" w15:restartNumberingAfterBreak="0">
    <w:nsid w:val="00000010"/>
    <w:multiLevelType w:val="singleLevel"/>
    <w:tmpl w:val="00000010"/>
    <w:name w:val="WW8Num16"/>
    <w:lvl w:ilvl="0">
      <w:start w:val="1"/>
      <w:numFmt w:val="lowerLetter"/>
      <w:lvlText w:val="%1)"/>
      <w:lvlJc w:val="left"/>
      <w:pPr>
        <w:tabs>
          <w:tab w:val="num" w:pos="708"/>
        </w:tabs>
        <w:ind w:left="720" w:hanging="360"/>
      </w:pPr>
      <w:rPr>
        <w:rFonts w:hint="default"/>
      </w:rPr>
    </w:lvl>
  </w:abstractNum>
  <w:abstractNum w:abstractNumId="16" w15:restartNumberingAfterBreak="0">
    <w:nsid w:val="00000011"/>
    <w:multiLevelType w:val="singleLevel"/>
    <w:tmpl w:val="00000011"/>
    <w:name w:val="WW8Num17"/>
    <w:lvl w:ilvl="0">
      <w:start w:val="1"/>
      <w:numFmt w:val="decimal"/>
      <w:lvlText w:val="%1."/>
      <w:lvlJc w:val="left"/>
      <w:pPr>
        <w:tabs>
          <w:tab w:val="num" w:pos="420"/>
        </w:tabs>
        <w:ind w:left="420" w:hanging="363"/>
      </w:pPr>
      <w:rPr>
        <w:rFonts w:ascii="Times New Roman" w:hAnsi="Times New Roman" w:cs="Times New Roman" w:hint="default"/>
        <w:color w:val="auto"/>
        <w:sz w:val="24"/>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08"/>
        </w:tabs>
        <w:ind w:left="720" w:hanging="360"/>
      </w:pPr>
      <w:rPr>
        <w:rFonts w:hint="default"/>
        <w:b/>
        <w:sz w:val="24"/>
      </w:rPr>
    </w:lvl>
  </w:abstractNum>
  <w:abstractNum w:abstractNumId="18" w15:restartNumberingAfterBreak="0">
    <w:nsid w:val="00000013"/>
    <w:multiLevelType w:val="singleLevel"/>
    <w:tmpl w:val="00000013"/>
    <w:name w:val="WW8Num20"/>
    <w:lvl w:ilvl="0">
      <w:start w:val="1"/>
      <w:numFmt w:val="lowerLetter"/>
      <w:lvlText w:val="%1)"/>
      <w:lvlJc w:val="left"/>
      <w:pPr>
        <w:tabs>
          <w:tab w:val="num" w:pos="950"/>
        </w:tabs>
        <w:ind w:left="950" w:hanging="360"/>
      </w:pPr>
      <w:rPr>
        <w:rFonts w:hint="default"/>
        <w:b w:val="0"/>
        <w:sz w:val="24"/>
      </w:rPr>
    </w:lvl>
  </w:abstractNum>
  <w:abstractNum w:abstractNumId="19" w15:restartNumberingAfterBreak="0">
    <w:nsid w:val="00000014"/>
    <w:multiLevelType w:val="singleLevel"/>
    <w:tmpl w:val="00000014"/>
    <w:name w:val="WW8Num21"/>
    <w:lvl w:ilvl="0">
      <w:start w:val="1"/>
      <w:numFmt w:val="decimal"/>
      <w:lvlText w:val="%1."/>
      <w:lvlJc w:val="left"/>
      <w:pPr>
        <w:tabs>
          <w:tab w:val="num" w:pos="720"/>
        </w:tabs>
        <w:ind w:left="720" w:hanging="360"/>
      </w:pPr>
      <w:rPr>
        <w:b w:val="0"/>
        <w:sz w:val="24"/>
        <w:szCs w:val="24"/>
      </w:rPr>
    </w:lvl>
  </w:abstractNum>
  <w:abstractNum w:abstractNumId="20" w15:restartNumberingAfterBreak="0">
    <w:nsid w:val="00000015"/>
    <w:multiLevelType w:val="singleLevel"/>
    <w:tmpl w:val="00000015"/>
    <w:name w:val="WW8Num22"/>
    <w:lvl w:ilvl="0">
      <w:start w:val="1"/>
      <w:numFmt w:val="decimal"/>
      <w:lvlText w:val="%1."/>
      <w:lvlJc w:val="left"/>
      <w:pPr>
        <w:tabs>
          <w:tab w:val="num" w:pos="720"/>
        </w:tabs>
        <w:ind w:left="720" w:hanging="360"/>
      </w:pPr>
      <w:rPr>
        <w:b w:val="0"/>
        <w:sz w:val="24"/>
      </w:rPr>
    </w:lvl>
  </w:abstractNum>
  <w:abstractNum w:abstractNumId="21" w15:restartNumberingAfterBreak="0">
    <w:nsid w:val="00000016"/>
    <w:multiLevelType w:val="singleLevel"/>
    <w:tmpl w:val="00000016"/>
    <w:name w:val="WW8Num23"/>
    <w:lvl w:ilvl="0">
      <w:start w:val="1"/>
      <w:numFmt w:val="decimal"/>
      <w:lvlText w:val="%1."/>
      <w:lvlJc w:val="left"/>
      <w:pPr>
        <w:tabs>
          <w:tab w:val="num" w:pos="502"/>
        </w:tabs>
        <w:ind w:left="502" w:hanging="360"/>
      </w:pPr>
      <w:rPr>
        <w:b w:val="0"/>
        <w:color w:val="auto"/>
        <w:sz w:val="24"/>
        <w:szCs w:val="24"/>
      </w:rPr>
    </w:lvl>
  </w:abstractNum>
  <w:abstractNum w:abstractNumId="22" w15:restartNumberingAfterBreak="0">
    <w:nsid w:val="00000017"/>
    <w:multiLevelType w:val="singleLevel"/>
    <w:tmpl w:val="00000017"/>
    <w:name w:val="WW8Num24"/>
    <w:lvl w:ilvl="0">
      <w:start w:val="1"/>
      <w:numFmt w:val="lowerLetter"/>
      <w:lvlText w:val="%1)"/>
      <w:lvlJc w:val="left"/>
      <w:pPr>
        <w:tabs>
          <w:tab w:val="num" w:pos="950"/>
        </w:tabs>
        <w:ind w:left="950" w:hanging="360"/>
      </w:pPr>
      <w:rPr>
        <w:rFonts w:hint="default"/>
        <w:b w:val="0"/>
        <w:sz w:val="24"/>
      </w:rPr>
    </w:lvl>
  </w:abstractNum>
  <w:abstractNum w:abstractNumId="23" w15:restartNumberingAfterBreak="0">
    <w:nsid w:val="00000018"/>
    <w:multiLevelType w:val="singleLevel"/>
    <w:tmpl w:val="00000018"/>
    <w:name w:val="WW8Num25"/>
    <w:lvl w:ilvl="0">
      <w:start w:val="1"/>
      <w:numFmt w:val="decimal"/>
      <w:lvlText w:val="%1."/>
      <w:lvlJc w:val="left"/>
      <w:pPr>
        <w:tabs>
          <w:tab w:val="num" w:pos="720"/>
        </w:tabs>
        <w:ind w:left="720" w:hanging="360"/>
      </w:pPr>
      <w:rPr>
        <w:b w:val="0"/>
        <w:color w:val="auto"/>
        <w:sz w:val="24"/>
        <w:szCs w:val="24"/>
      </w:rPr>
    </w:lvl>
  </w:abstractNum>
  <w:abstractNum w:abstractNumId="24" w15:restartNumberingAfterBreak="0">
    <w:nsid w:val="00000019"/>
    <w:multiLevelType w:val="singleLevel"/>
    <w:tmpl w:val="00000019"/>
    <w:name w:val="WW8Num26"/>
    <w:lvl w:ilvl="0">
      <w:start w:val="1"/>
      <w:numFmt w:val="lowerLetter"/>
      <w:lvlText w:val="%1)"/>
      <w:lvlJc w:val="left"/>
      <w:pPr>
        <w:tabs>
          <w:tab w:val="num" w:pos="950"/>
        </w:tabs>
        <w:ind w:left="950" w:hanging="360"/>
      </w:pPr>
      <w:rPr>
        <w:rFonts w:hint="default"/>
        <w:b w:val="0"/>
        <w:sz w:val="24"/>
        <w:szCs w:val="24"/>
      </w:rPr>
    </w:lvl>
  </w:abstractNum>
  <w:abstractNum w:abstractNumId="25" w15:restartNumberingAfterBreak="0">
    <w:nsid w:val="0000001A"/>
    <w:multiLevelType w:val="singleLevel"/>
    <w:tmpl w:val="0000001A"/>
    <w:name w:val="WW8Num27"/>
    <w:lvl w:ilvl="0">
      <w:start w:val="1"/>
      <w:numFmt w:val="decimal"/>
      <w:lvlText w:val="%1."/>
      <w:lvlJc w:val="left"/>
      <w:pPr>
        <w:tabs>
          <w:tab w:val="num" w:pos="360"/>
        </w:tabs>
        <w:ind w:left="360" w:hanging="360"/>
      </w:pPr>
      <w:rPr>
        <w:b w:val="0"/>
        <w:color w:val="auto"/>
        <w:sz w:val="24"/>
        <w:szCs w:val="24"/>
      </w:rPr>
    </w:lvl>
  </w:abstractNum>
  <w:abstractNum w:abstractNumId="26" w15:restartNumberingAfterBreak="0">
    <w:nsid w:val="0000001B"/>
    <w:multiLevelType w:val="singleLevel"/>
    <w:tmpl w:val="0000001B"/>
    <w:name w:val="WW8Num28"/>
    <w:lvl w:ilvl="0">
      <w:start w:val="1"/>
      <w:numFmt w:val="lowerLetter"/>
      <w:lvlText w:val="%1)"/>
      <w:lvlJc w:val="left"/>
      <w:pPr>
        <w:tabs>
          <w:tab w:val="num" w:pos="950"/>
        </w:tabs>
        <w:ind w:left="950" w:hanging="360"/>
      </w:pPr>
      <w:rPr>
        <w:rFonts w:hint="default"/>
        <w:b w:val="0"/>
        <w:sz w:val="24"/>
        <w:szCs w:val="24"/>
      </w:rPr>
    </w:lvl>
  </w:abstractNum>
  <w:abstractNum w:abstractNumId="27" w15:restartNumberingAfterBreak="0">
    <w:nsid w:val="0000001C"/>
    <w:multiLevelType w:val="singleLevel"/>
    <w:tmpl w:val="0000001C"/>
    <w:name w:val="WW8Num29"/>
    <w:lvl w:ilvl="0">
      <w:start w:val="1"/>
      <w:numFmt w:val="lowerLetter"/>
      <w:lvlText w:val="%1)"/>
      <w:lvlJc w:val="left"/>
      <w:pPr>
        <w:tabs>
          <w:tab w:val="num" w:pos="1440"/>
        </w:tabs>
        <w:ind w:left="1440" w:hanging="360"/>
      </w:pPr>
      <w:rPr>
        <w:rFonts w:hint="default"/>
        <w:sz w:val="24"/>
        <w:szCs w:val="24"/>
      </w:rPr>
    </w:lvl>
  </w:abstractNum>
  <w:abstractNum w:abstractNumId="28" w15:restartNumberingAfterBreak="0">
    <w:nsid w:val="0000001D"/>
    <w:multiLevelType w:val="singleLevel"/>
    <w:tmpl w:val="0000001D"/>
    <w:name w:val="WW8Num30"/>
    <w:lvl w:ilvl="0">
      <w:start w:val="1"/>
      <w:numFmt w:val="lowerLetter"/>
      <w:lvlText w:val="%1)"/>
      <w:lvlJc w:val="left"/>
      <w:pPr>
        <w:tabs>
          <w:tab w:val="num" w:pos="950"/>
        </w:tabs>
        <w:ind w:left="950" w:hanging="360"/>
      </w:pPr>
      <w:rPr>
        <w:rFonts w:hint="default"/>
        <w:b w:val="0"/>
        <w:sz w:val="24"/>
        <w:szCs w:val="24"/>
      </w:rPr>
    </w:lvl>
  </w:abstractNum>
  <w:abstractNum w:abstractNumId="29" w15:restartNumberingAfterBreak="0">
    <w:nsid w:val="0000001E"/>
    <w:multiLevelType w:val="singleLevel"/>
    <w:tmpl w:val="0000001E"/>
    <w:name w:val="WW8Num31"/>
    <w:lvl w:ilvl="0">
      <w:start w:val="1"/>
      <w:numFmt w:val="decimal"/>
      <w:lvlText w:val="%1."/>
      <w:lvlJc w:val="left"/>
      <w:pPr>
        <w:tabs>
          <w:tab w:val="num" w:pos="720"/>
        </w:tabs>
        <w:ind w:left="720" w:hanging="360"/>
      </w:pPr>
      <w:rPr>
        <w:b w:val="0"/>
        <w:sz w:val="24"/>
      </w:rPr>
    </w:lvl>
  </w:abstractNum>
  <w:abstractNum w:abstractNumId="30" w15:restartNumberingAfterBreak="0">
    <w:nsid w:val="0000001F"/>
    <w:multiLevelType w:val="singleLevel"/>
    <w:tmpl w:val="0000001F"/>
    <w:name w:val="WW8Num32"/>
    <w:lvl w:ilvl="0">
      <w:start w:val="1"/>
      <w:numFmt w:val="lowerLetter"/>
      <w:lvlText w:val="%1)"/>
      <w:lvlJc w:val="left"/>
      <w:pPr>
        <w:tabs>
          <w:tab w:val="num" w:pos="950"/>
        </w:tabs>
        <w:ind w:left="950" w:hanging="360"/>
      </w:pPr>
      <w:rPr>
        <w:rFonts w:hint="default"/>
        <w:b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F"/>
    <w:rsid w:val="0001614F"/>
    <w:rsid w:val="00031727"/>
    <w:rsid w:val="000612B9"/>
    <w:rsid w:val="00063358"/>
    <w:rsid w:val="000B78EF"/>
    <w:rsid w:val="000C1E65"/>
    <w:rsid w:val="000C229D"/>
    <w:rsid w:val="000D4578"/>
    <w:rsid w:val="00131809"/>
    <w:rsid w:val="00136701"/>
    <w:rsid w:val="0014714F"/>
    <w:rsid w:val="001564E3"/>
    <w:rsid w:val="00161683"/>
    <w:rsid w:val="00162A3F"/>
    <w:rsid w:val="00166388"/>
    <w:rsid w:val="0017004D"/>
    <w:rsid w:val="001738D9"/>
    <w:rsid w:val="00185E7E"/>
    <w:rsid w:val="001B0353"/>
    <w:rsid w:val="001B1BE0"/>
    <w:rsid w:val="00215E65"/>
    <w:rsid w:val="00234F9B"/>
    <w:rsid w:val="0024075C"/>
    <w:rsid w:val="0024777B"/>
    <w:rsid w:val="002743BE"/>
    <w:rsid w:val="00283C0C"/>
    <w:rsid w:val="00285513"/>
    <w:rsid w:val="00295DF0"/>
    <w:rsid w:val="002A1147"/>
    <w:rsid w:val="002A52EA"/>
    <w:rsid w:val="002B4BB1"/>
    <w:rsid w:val="002C1323"/>
    <w:rsid w:val="002E1959"/>
    <w:rsid w:val="002E6467"/>
    <w:rsid w:val="003129E7"/>
    <w:rsid w:val="0034179A"/>
    <w:rsid w:val="00344AA8"/>
    <w:rsid w:val="00355A7D"/>
    <w:rsid w:val="003626A7"/>
    <w:rsid w:val="003F6A68"/>
    <w:rsid w:val="00400BE9"/>
    <w:rsid w:val="004032B6"/>
    <w:rsid w:val="00405FC6"/>
    <w:rsid w:val="0042436F"/>
    <w:rsid w:val="00427249"/>
    <w:rsid w:val="00435F81"/>
    <w:rsid w:val="00442A9E"/>
    <w:rsid w:val="00464D48"/>
    <w:rsid w:val="00465688"/>
    <w:rsid w:val="00472EF9"/>
    <w:rsid w:val="00477462"/>
    <w:rsid w:val="00481D6E"/>
    <w:rsid w:val="004A0105"/>
    <w:rsid w:val="004A5524"/>
    <w:rsid w:val="004B72A8"/>
    <w:rsid w:val="004C0317"/>
    <w:rsid w:val="004D1AC0"/>
    <w:rsid w:val="004E6795"/>
    <w:rsid w:val="00503694"/>
    <w:rsid w:val="005042D6"/>
    <w:rsid w:val="00556A1C"/>
    <w:rsid w:val="00560268"/>
    <w:rsid w:val="00566673"/>
    <w:rsid w:val="00593A25"/>
    <w:rsid w:val="00595B4F"/>
    <w:rsid w:val="005C4FFF"/>
    <w:rsid w:val="005E3123"/>
    <w:rsid w:val="005F4409"/>
    <w:rsid w:val="0061650F"/>
    <w:rsid w:val="00621967"/>
    <w:rsid w:val="0065252A"/>
    <w:rsid w:val="006B5B23"/>
    <w:rsid w:val="006E1399"/>
    <w:rsid w:val="006E282E"/>
    <w:rsid w:val="006E4706"/>
    <w:rsid w:val="006F02EA"/>
    <w:rsid w:val="006F7141"/>
    <w:rsid w:val="00701C78"/>
    <w:rsid w:val="00734E63"/>
    <w:rsid w:val="00736158"/>
    <w:rsid w:val="0073746A"/>
    <w:rsid w:val="007414E6"/>
    <w:rsid w:val="00756E35"/>
    <w:rsid w:val="007628DA"/>
    <w:rsid w:val="00772C6D"/>
    <w:rsid w:val="0078406F"/>
    <w:rsid w:val="007A3779"/>
    <w:rsid w:val="007A6FCA"/>
    <w:rsid w:val="007E1D8D"/>
    <w:rsid w:val="00817030"/>
    <w:rsid w:val="00826DBC"/>
    <w:rsid w:val="00835F75"/>
    <w:rsid w:val="00885AEF"/>
    <w:rsid w:val="008B62B3"/>
    <w:rsid w:val="008E1352"/>
    <w:rsid w:val="008E1BD8"/>
    <w:rsid w:val="009003FF"/>
    <w:rsid w:val="009056A9"/>
    <w:rsid w:val="00907DD9"/>
    <w:rsid w:val="00915824"/>
    <w:rsid w:val="00927540"/>
    <w:rsid w:val="009666E1"/>
    <w:rsid w:val="009B6A75"/>
    <w:rsid w:val="009C4CC1"/>
    <w:rsid w:val="009E2A7D"/>
    <w:rsid w:val="009F6219"/>
    <w:rsid w:val="00A02D98"/>
    <w:rsid w:val="00A2553C"/>
    <w:rsid w:val="00A32F22"/>
    <w:rsid w:val="00A37E2F"/>
    <w:rsid w:val="00A50E64"/>
    <w:rsid w:val="00A5664A"/>
    <w:rsid w:val="00A8606A"/>
    <w:rsid w:val="00A979A4"/>
    <w:rsid w:val="00AA0022"/>
    <w:rsid w:val="00AA18C2"/>
    <w:rsid w:val="00AA640C"/>
    <w:rsid w:val="00AC2E72"/>
    <w:rsid w:val="00B66E4C"/>
    <w:rsid w:val="00B91205"/>
    <w:rsid w:val="00BA09B8"/>
    <w:rsid w:val="00BA0D16"/>
    <w:rsid w:val="00BA6DBE"/>
    <w:rsid w:val="00BB0A70"/>
    <w:rsid w:val="00BC7A38"/>
    <w:rsid w:val="00BF3AC7"/>
    <w:rsid w:val="00C21B34"/>
    <w:rsid w:val="00C7483E"/>
    <w:rsid w:val="00CB286C"/>
    <w:rsid w:val="00CC7767"/>
    <w:rsid w:val="00D059D4"/>
    <w:rsid w:val="00D51D33"/>
    <w:rsid w:val="00D74760"/>
    <w:rsid w:val="00D779F0"/>
    <w:rsid w:val="00D809B9"/>
    <w:rsid w:val="00D8521A"/>
    <w:rsid w:val="00DA3AAD"/>
    <w:rsid w:val="00DB5984"/>
    <w:rsid w:val="00DC029E"/>
    <w:rsid w:val="00DF2DFE"/>
    <w:rsid w:val="00E243A4"/>
    <w:rsid w:val="00E711C2"/>
    <w:rsid w:val="00E9302D"/>
    <w:rsid w:val="00E933AD"/>
    <w:rsid w:val="00E95A63"/>
    <w:rsid w:val="00E97080"/>
    <w:rsid w:val="00ED2062"/>
    <w:rsid w:val="00EE13CE"/>
    <w:rsid w:val="00F1130F"/>
    <w:rsid w:val="00FC70FC"/>
    <w:rsid w:val="00FF16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393D"/>
  <w15:docId w15:val="{07F1AF86-E249-48F6-A67A-39F5505A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95B4F"/>
  </w:style>
  <w:style w:type="paragraph" w:styleId="Nadpis1">
    <w:name w:val="heading 1"/>
    <w:basedOn w:val="Normlny"/>
    <w:next w:val="Normlny"/>
    <w:link w:val="Nadpis1Char"/>
    <w:qFormat/>
    <w:rsid w:val="00283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nhideWhenUsed/>
    <w:qFormat/>
    <w:rsid w:val="009C4C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semiHidden/>
    <w:unhideWhenUsed/>
    <w:qFormat/>
    <w:rsid w:val="00560268"/>
    <w:pPr>
      <w:keepNext/>
      <w:spacing w:before="240" w:after="60" w:line="240" w:lineRule="auto"/>
      <w:outlineLvl w:val="2"/>
    </w:pPr>
    <w:rPr>
      <w:rFonts w:ascii="Cambria" w:eastAsia="Times New Roman" w:hAnsi="Cambria" w:cs="Times New Roman"/>
      <w:b/>
      <w:bCs/>
      <w:sz w:val="26"/>
      <w:szCs w:val="26"/>
      <w:lang w:eastAsia="sk-SK"/>
    </w:rPr>
  </w:style>
  <w:style w:type="paragraph" w:styleId="Nadpis4">
    <w:name w:val="heading 4"/>
    <w:basedOn w:val="Normlny"/>
    <w:link w:val="Nadpis4Char"/>
    <w:uiPriority w:val="9"/>
    <w:qFormat/>
    <w:rsid w:val="00560268"/>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Nadpis5">
    <w:name w:val="heading 5"/>
    <w:basedOn w:val="Normlny"/>
    <w:next w:val="Normlny"/>
    <w:link w:val="Nadpis5Char"/>
    <w:semiHidden/>
    <w:unhideWhenUsed/>
    <w:qFormat/>
    <w:rsid w:val="00560268"/>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dpis6">
    <w:name w:val="heading 6"/>
    <w:basedOn w:val="Normlny"/>
    <w:next w:val="Normlny"/>
    <w:link w:val="Nadpis6Char"/>
    <w:semiHidden/>
    <w:unhideWhenUsed/>
    <w:qFormat/>
    <w:rsid w:val="00560268"/>
    <w:pPr>
      <w:spacing w:before="240" w:after="60" w:line="240" w:lineRule="auto"/>
      <w:outlineLvl w:val="5"/>
    </w:pPr>
    <w:rPr>
      <w:rFonts w:ascii="Calibri" w:eastAsia="Times New Roman" w:hAnsi="Calibri" w:cs="Times New Roman"/>
      <w:b/>
      <w:bCs/>
      <w:lang w:val="x-none" w:eastAsia="x-none"/>
    </w:rPr>
  </w:style>
  <w:style w:type="paragraph" w:styleId="Nadpis8">
    <w:name w:val="heading 8"/>
    <w:basedOn w:val="Normlny"/>
    <w:next w:val="Normlny"/>
    <w:link w:val="Nadpis8Char"/>
    <w:semiHidden/>
    <w:unhideWhenUsed/>
    <w:qFormat/>
    <w:rsid w:val="00560268"/>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471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283C0C"/>
    <w:rPr>
      <w:rFonts w:asciiTheme="majorHAnsi" w:eastAsiaTheme="majorEastAsia" w:hAnsiTheme="majorHAnsi" w:cstheme="majorBidi"/>
      <w:color w:val="2E74B5" w:themeColor="accent1" w:themeShade="BF"/>
      <w:sz w:val="32"/>
      <w:szCs w:val="32"/>
    </w:rPr>
  </w:style>
  <w:style w:type="table" w:styleId="Mriekatabuky">
    <w:name w:val="Table Grid"/>
    <w:basedOn w:val="Normlnatabuka"/>
    <w:uiPriority w:val="59"/>
    <w:rsid w:val="00DB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2C1323"/>
    <w:pPr>
      <w:tabs>
        <w:tab w:val="center" w:pos="4536"/>
        <w:tab w:val="right" w:pos="9072"/>
      </w:tabs>
      <w:spacing w:after="0" w:line="240" w:lineRule="auto"/>
    </w:pPr>
  </w:style>
  <w:style w:type="character" w:customStyle="1" w:styleId="HlavikaChar">
    <w:name w:val="Hlavička Char"/>
    <w:basedOn w:val="Predvolenpsmoodseku"/>
    <w:link w:val="Hlavika"/>
    <w:rsid w:val="002C1323"/>
  </w:style>
  <w:style w:type="paragraph" w:styleId="Pta">
    <w:name w:val="footer"/>
    <w:basedOn w:val="Normlny"/>
    <w:link w:val="PtaChar"/>
    <w:uiPriority w:val="99"/>
    <w:unhideWhenUsed/>
    <w:rsid w:val="002C1323"/>
    <w:pPr>
      <w:tabs>
        <w:tab w:val="center" w:pos="4536"/>
        <w:tab w:val="right" w:pos="9072"/>
      </w:tabs>
      <w:spacing w:after="0" w:line="240" w:lineRule="auto"/>
    </w:pPr>
  </w:style>
  <w:style w:type="character" w:customStyle="1" w:styleId="PtaChar">
    <w:name w:val="Päta Char"/>
    <w:basedOn w:val="Predvolenpsmoodseku"/>
    <w:link w:val="Pta"/>
    <w:uiPriority w:val="99"/>
    <w:rsid w:val="002C1323"/>
  </w:style>
  <w:style w:type="paragraph" w:styleId="Odsekzoznamu">
    <w:name w:val="List Paragraph"/>
    <w:basedOn w:val="Normlny"/>
    <w:uiPriority w:val="34"/>
    <w:qFormat/>
    <w:rsid w:val="00835F75"/>
    <w:pPr>
      <w:ind w:left="720"/>
      <w:contextualSpacing/>
    </w:pPr>
  </w:style>
  <w:style w:type="character" w:customStyle="1" w:styleId="Nadpis2Char">
    <w:name w:val="Nadpis 2 Char"/>
    <w:basedOn w:val="Predvolenpsmoodseku"/>
    <w:link w:val="Nadpis2"/>
    <w:rsid w:val="009C4CC1"/>
    <w:rPr>
      <w:rFonts w:asciiTheme="majorHAnsi" w:eastAsiaTheme="majorEastAsia" w:hAnsiTheme="majorHAnsi" w:cstheme="majorBidi"/>
      <w:color w:val="2E74B5" w:themeColor="accent1" w:themeShade="BF"/>
      <w:sz w:val="26"/>
      <w:szCs w:val="26"/>
    </w:rPr>
  </w:style>
  <w:style w:type="paragraph" w:styleId="Textbubliny">
    <w:name w:val="Balloon Text"/>
    <w:basedOn w:val="Normlny"/>
    <w:link w:val="TextbublinyChar"/>
    <w:unhideWhenUsed/>
    <w:rsid w:val="0078406F"/>
    <w:pPr>
      <w:spacing w:after="0" w:line="240" w:lineRule="auto"/>
    </w:pPr>
    <w:rPr>
      <w:rFonts w:ascii="Arial" w:hAnsi="Arial" w:cs="Arial"/>
      <w:sz w:val="18"/>
      <w:szCs w:val="18"/>
    </w:rPr>
  </w:style>
  <w:style w:type="character" w:customStyle="1" w:styleId="TextbublinyChar">
    <w:name w:val="Text bubliny Char"/>
    <w:basedOn w:val="Predvolenpsmoodseku"/>
    <w:link w:val="Textbubliny"/>
    <w:rsid w:val="0078406F"/>
    <w:rPr>
      <w:rFonts w:ascii="Arial" w:hAnsi="Arial" w:cs="Arial"/>
      <w:sz w:val="18"/>
      <w:szCs w:val="18"/>
    </w:rPr>
  </w:style>
  <w:style w:type="paragraph" w:customStyle="1" w:styleId="tl1">
    <w:name w:val="Štýl1"/>
    <w:basedOn w:val="Nadpis1"/>
    <w:link w:val="tl1Char"/>
    <w:qFormat/>
    <w:rsid w:val="00CC7767"/>
    <w:pPr>
      <w:spacing w:after="240"/>
      <w:jc w:val="center"/>
    </w:pPr>
    <w:rPr>
      <w:b/>
      <w:color w:val="1F4E79" w:themeColor="accent1" w:themeShade="80"/>
    </w:rPr>
  </w:style>
  <w:style w:type="character" w:customStyle="1" w:styleId="tl1Char">
    <w:name w:val="Štýl1 Char"/>
    <w:basedOn w:val="Nadpis1Char"/>
    <w:link w:val="tl1"/>
    <w:rsid w:val="00CC7767"/>
    <w:rPr>
      <w:rFonts w:asciiTheme="majorHAnsi" w:eastAsiaTheme="majorEastAsia" w:hAnsiTheme="majorHAnsi" w:cstheme="majorBidi"/>
      <w:b/>
      <w:color w:val="1F4E79" w:themeColor="accent1" w:themeShade="80"/>
      <w:sz w:val="32"/>
      <w:szCs w:val="32"/>
    </w:rPr>
  </w:style>
  <w:style w:type="paragraph" w:styleId="Hlavikaobsahu">
    <w:name w:val="TOC Heading"/>
    <w:basedOn w:val="Nadpis1"/>
    <w:next w:val="Normlny"/>
    <w:uiPriority w:val="39"/>
    <w:unhideWhenUsed/>
    <w:qFormat/>
    <w:rsid w:val="000B78EF"/>
    <w:pPr>
      <w:outlineLvl w:val="9"/>
    </w:pPr>
    <w:rPr>
      <w:lang w:eastAsia="sk-SK"/>
    </w:rPr>
  </w:style>
  <w:style w:type="paragraph" w:styleId="Obsah1">
    <w:name w:val="toc 1"/>
    <w:basedOn w:val="Normlny"/>
    <w:next w:val="Normlny"/>
    <w:autoRedefine/>
    <w:uiPriority w:val="39"/>
    <w:unhideWhenUsed/>
    <w:rsid w:val="000B78EF"/>
    <w:pPr>
      <w:spacing w:after="100"/>
    </w:pPr>
  </w:style>
  <w:style w:type="character" w:styleId="Hypertextovprepojenie">
    <w:name w:val="Hyperlink"/>
    <w:basedOn w:val="Predvolenpsmoodseku"/>
    <w:uiPriority w:val="99"/>
    <w:unhideWhenUsed/>
    <w:rsid w:val="000B78EF"/>
    <w:rPr>
      <w:color w:val="0563C1" w:themeColor="hyperlink"/>
      <w:u w:val="single"/>
    </w:rPr>
  </w:style>
  <w:style w:type="character" w:customStyle="1" w:styleId="Nadpis3Char">
    <w:name w:val="Nadpis 3 Char"/>
    <w:basedOn w:val="Predvolenpsmoodseku"/>
    <w:link w:val="Nadpis3"/>
    <w:semiHidden/>
    <w:rsid w:val="00560268"/>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uiPriority w:val="9"/>
    <w:rsid w:val="00560268"/>
    <w:rPr>
      <w:rFonts w:ascii="Times New Roman" w:eastAsia="Times New Roman" w:hAnsi="Times New Roman" w:cs="Times New Roman"/>
      <w:b/>
      <w:bCs/>
      <w:sz w:val="24"/>
      <w:szCs w:val="24"/>
      <w:lang w:val="x-none" w:eastAsia="x-none"/>
    </w:rPr>
  </w:style>
  <w:style w:type="character" w:customStyle="1" w:styleId="Nadpis5Char">
    <w:name w:val="Nadpis 5 Char"/>
    <w:basedOn w:val="Predvolenpsmoodseku"/>
    <w:link w:val="Nadpis5"/>
    <w:semiHidden/>
    <w:rsid w:val="00560268"/>
    <w:rPr>
      <w:rFonts w:ascii="Calibri" w:eastAsia="Times New Roman" w:hAnsi="Calibri" w:cs="Times New Roman"/>
      <w:b/>
      <w:bCs/>
      <w:i/>
      <w:iCs/>
      <w:sz w:val="26"/>
      <w:szCs w:val="26"/>
      <w:lang w:val="x-none" w:eastAsia="x-none"/>
    </w:rPr>
  </w:style>
  <w:style w:type="character" w:customStyle="1" w:styleId="Nadpis6Char">
    <w:name w:val="Nadpis 6 Char"/>
    <w:basedOn w:val="Predvolenpsmoodseku"/>
    <w:link w:val="Nadpis6"/>
    <w:semiHidden/>
    <w:rsid w:val="00560268"/>
    <w:rPr>
      <w:rFonts w:ascii="Calibri" w:eastAsia="Times New Roman" w:hAnsi="Calibri" w:cs="Times New Roman"/>
      <w:b/>
      <w:bCs/>
      <w:lang w:val="x-none" w:eastAsia="x-none"/>
    </w:rPr>
  </w:style>
  <w:style w:type="character" w:customStyle="1" w:styleId="Nadpis8Char">
    <w:name w:val="Nadpis 8 Char"/>
    <w:basedOn w:val="Predvolenpsmoodseku"/>
    <w:link w:val="Nadpis8"/>
    <w:semiHidden/>
    <w:rsid w:val="00560268"/>
    <w:rPr>
      <w:rFonts w:ascii="Calibri" w:eastAsia="Times New Roman" w:hAnsi="Calibri" w:cs="Times New Roman"/>
      <w:i/>
      <w:iCs/>
      <w:sz w:val="24"/>
      <w:szCs w:val="24"/>
      <w:lang w:val="x-none" w:eastAsia="x-none"/>
    </w:rPr>
  </w:style>
  <w:style w:type="paragraph" w:styleId="Bezriadkovania">
    <w:name w:val="No Spacing"/>
    <w:uiPriority w:val="1"/>
    <w:qFormat/>
    <w:rsid w:val="00560268"/>
    <w:pPr>
      <w:spacing w:after="0" w:line="240" w:lineRule="auto"/>
      <w:jc w:val="both"/>
    </w:pPr>
    <w:rPr>
      <w:rFonts w:ascii="Times New Roman" w:eastAsia="Times New Roman" w:hAnsi="Times New Roman" w:cs="Times New Roman"/>
      <w:color w:val="000000"/>
      <w:sz w:val="24"/>
      <w:szCs w:val="24"/>
      <w:lang w:eastAsia="cs-CZ"/>
    </w:rPr>
  </w:style>
  <w:style w:type="paragraph" w:customStyle="1" w:styleId="Textzozarkami">
    <w:name w:val="Text zo zarážkami"/>
    <w:basedOn w:val="Normlny"/>
    <w:rsid w:val="00560268"/>
    <w:pPr>
      <w:keepLines/>
      <w:spacing w:after="120" w:line="240" w:lineRule="auto"/>
      <w:ind w:left="340" w:hanging="340"/>
      <w:jc w:val="both"/>
    </w:pPr>
    <w:rPr>
      <w:rFonts w:ascii="Times New Roman" w:eastAsia="Times New Roman" w:hAnsi="Times New Roman" w:cs="Times New Roman"/>
      <w:sz w:val="24"/>
      <w:szCs w:val="20"/>
      <w:lang w:eastAsia="sk-SK"/>
    </w:rPr>
  </w:style>
  <w:style w:type="paragraph" w:styleId="Normlnywebov">
    <w:name w:val="Normal (Web)"/>
    <w:basedOn w:val="Normlny"/>
    <w:uiPriority w:val="99"/>
    <w:unhideWhenUsed/>
    <w:rsid w:val="0056026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bdr">
    <w:name w:val="bdr"/>
    <w:basedOn w:val="Normlny"/>
    <w:rsid w:val="0056026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aliases w:val="Základní text Char,bt,heading3,Body Text - Level 2,Body,?????1,Текст1,b,uvlaka 2,uvlaka 3,Òåêñò1,Oaeno1,Standard paragraph,Body Text1,Číslovaný seznam (i),Základní text Char1 Char Char Char,Základní text Char1 Char Char C,Základný text1"/>
    <w:basedOn w:val="Normlny"/>
    <w:link w:val="ZkladntextChar"/>
    <w:uiPriority w:val="99"/>
    <w:rsid w:val="00560268"/>
    <w:pPr>
      <w:spacing w:after="0" w:line="240" w:lineRule="auto"/>
      <w:jc w:val="both"/>
    </w:pPr>
    <w:rPr>
      <w:rFonts w:ascii="Times New Roman" w:eastAsia="Times New Roman" w:hAnsi="Times New Roman" w:cs="Times New Roman"/>
      <w:sz w:val="24"/>
      <w:szCs w:val="24"/>
      <w:lang w:val="cs-CZ" w:eastAsia="cs-CZ"/>
    </w:rPr>
  </w:style>
  <w:style w:type="character" w:customStyle="1" w:styleId="ZkladntextChar">
    <w:name w:val="Základný text Char"/>
    <w:aliases w:val="Základní text Char Char,bt Char,heading3 Char,Body Text - Level 2 Char,Body Char,?????1 Char,Текст1 Char,b Char,uvlaka 2 Char,uvlaka 3 Char,Òåêñò1 Char,Oaeno1 Char,Standard paragraph Char,Body Text1 Char,Číslovaný seznam (i) Char"/>
    <w:basedOn w:val="Predvolenpsmoodseku"/>
    <w:link w:val="Zkladntext"/>
    <w:uiPriority w:val="99"/>
    <w:rsid w:val="00560268"/>
    <w:rPr>
      <w:rFonts w:ascii="Times New Roman" w:eastAsia="Times New Roman" w:hAnsi="Times New Roman" w:cs="Times New Roman"/>
      <w:sz w:val="24"/>
      <w:szCs w:val="24"/>
      <w:lang w:val="cs-CZ" w:eastAsia="cs-CZ"/>
    </w:rPr>
  </w:style>
  <w:style w:type="paragraph" w:styleId="Podtitul">
    <w:name w:val="Subtitle"/>
    <w:basedOn w:val="Normlny"/>
    <w:next w:val="Normlny"/>
    <w:link w:val="PodtitulChar"/>
    <w:uiPriority w:val="11"/>
    <w:qFormat/>
    <w:rsid w:val="00560268"/>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itulChar">
    <w:name w:val="Podtitul Char"/>
    <w:basedOn w:val="Predvolenpsmoodseku"/>
    <w:link w:val="Podtitul"/>
    <w:uiPriority w:val="11"/>
    <w:rsid w:val="00560268"/>
    <w:rPr>
      <w:rFonts w:ascii="Cambria" w:eastAsia="Times New Roman" w:hAnsi="Cambria" w:cs="Times New Roman"/>
      <w:sz w:val="24"/>
      <w:szCs w:val="24"/>
      <w:lang w:val="x-none" w:eastAsia="x-none"/>
    </w:rPr>
  </w:style>
  <w:style w:type="paragraph" w:styleId="Zarkazkladnhotextu2">
    <w:name w:val="Body Text Indent 2"/>
    <w:basedOn w:val="Normlny"/>
    <w:link w:val="Zarkazkladnhotextu2Char"/>
    <w:rsid w:val="0056026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Zarkazkladnhotextu2Char">
    <w:name w:val="Zarážka základného textu 2 Char"/>
    <w:basedOn w:val="Predvolenpsmoodseku"/>
    <w:link w:val="Zarkazkladnhotextu2"/>
    <w:rsid w:val="00560268"/>
    <w:rPr>
      <w:rFonts w:ascii="Times New Roman" w:eastAsia="Times New Roman" w:hAnsi="Times New Roman" w:cs="Times New Roman"/>
      <w:sz w:val="24"/>
      <w:szCs w:val="24"/>
      <w:lang w:val="x-none" w:eastAsia="x-none"/>
    </w:rPr>
  </w:style>
  <w:style w:type="paragraph" w:styleId="Textpoznmkypodiarou">
    <w:name w:val="footnote text"/>
    <w:basedOn w:val="Normlny"/>
    <w:link w:val="TextpoznmkypodiarouChar"/>
    <w:uiPriority w:val="99"/>
    <w:rsid w:val="00560268"/>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560268"/>
    <w:rPr>
      <w:rFonts w:ascii="Times New Roman" w:eastAsia="Times New Roman" w:hAnsi="Times New Roman" w:cs="Times New Roman"/>
      <w:sz w:val="20"/>
      <w:szCs w:val="20"/>
      <w:lang w:eastAsia="sk-SK"/>
    </w:rPr>
  </w:style>
  <w:style w:type="character" w:styleId="Odkaznapoznmkupodiarou">
    <w:name w:val="footnote reference"/>
    <w:uiPriority w:val="99"/>
    <w:rsid w:val="00560268"/>
    <w:rPr>
      <w:rFonts w:cs="Times New Roman"/>
      <w:vertAlign w:val="superscript"/>
    </w:rPr>
  </w:style>
  <w:style w:type="paragraph" w:styleId="Nzov">
    <w:name w:val="Title"/>
    <w:basedOn w:val="Normlny"/>
    <w:link w:val="NzovChar"/>
    <w:uiPriority w:val="10"/>
    <w:qFormat/>
    <w:rsid w:val="00560268"/>
    <w:pPr>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NzovChar">
    <w:name w:val="Názov Char"/>
    <w:basedOn w:val="Predvolenpsmoodseku"/>
    <w:link w:val="Nzov"/>
    <w:uiPriority w:val="10"/>
    <w:rsid w:val="00560268"/>
    <w:rPr>
      <w:rFonts w:ascii="Times New Roman" w:eastAsia="Times New Roman" w:hAnsi="Times New Roman" w:cs="Times New Roman"/>
      <w:b/>
      <w:bCs/>
      <w:sz w:val="28"/>
      <w:szCs w:val="28"/>
      <w:lang w:val="x-none" w:eastAsia="x-none"/>
    </w:rPr>
  </w:style>
  <w:style w:type="paragraph" w:customStyle="1" w:styleId="a">
    <w:uiPriority w:val="22"/>
    <w:qFormat/>
    <w:rsid w:val="00560268"/>
  </w:style>
  <w:style w:type="paragraph" w:styleId="Zarkazkladnhotextu">
    <w:name w:val="Body Text Indent"/>
    <w:basedOn w:val="Normlny"/>
    <w:link w:val="ZarkazkladnhotextuChar"/>
    <w:rsid w:val="0056026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ZarkazkladnhotextuChar">
    <w:name w:val="Zarážka základného textu Char"/>
    <w:basedOn w:val="Predvolenpsmoodseku"/>
    <w:link w:val="Zarkazkladnhotextu"/>
    <w:rsid w:val="00560268"/>
    <w:rPr>
      <w:rFonts w:ascii="Times New Roman" w:eastAsia="Times New Roman" w:hAnsi="Times New Roman" w:cs="Times New Roman"/>
      <w:sz w:val="24"/>
      <w:szCs w:val="24"/>
      <w:lang w:val="x-none" w:eastAsia="x-none"/>
    </w:rPr>
  </w:style>
  <w:style w:type="paragraph" w:styleId="Zarkazkladnhotextu3">
    <w:name w:val="Body Text Indent 3"/>
    <w:basedOn w:val="Normlny"/>
    <w:link w:val="Zarkazkladnhotextu3Char"/>
    <w:rsid w:val="0056026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Zarkazkladnhotextu3Char">
    <w:name w:val="Zarážka základného textu 3 Char"/>
    <w:basedOn w:val="Predvolenpsmoodseku"/>
    <w:link w:val="Zarkazkladnhotextu3"/>
    <w:rsid w:val="00560268"/>
    <w:rPr>
      <w:rFonts w:ascii="Times New Roman" w:eastAsia="Times New Roman" w:hAnsi="Times New Roman" w:cs="Times New Roman"/>
      <w:sz w:val="16"/>
      <w:szCs w:val="16"/>
      <w:lang w:val="x-none" w:eastAsia="x-none"/>
    </w:rPr>
  </w:style>
  <w:style w:type="paragraph" w:customStyle="1" w:styleId="dka">
    <w:name w:val="dka"/>
    <w:basedOn w:val="Normlny"/>
    <w:uiPriority w:val="99"/>
    <w:rsid w:val="00560268"/>
    <w:pPr>
      <w:spacing w:after="0" w:line="240" w:lineRule="auto"/>
      <w:jc w:val="both"/>
    </w:pPr>
    <w:rPr>
      <w:rFonts w:ascii="Times New Roman" w:eastAsia="Times New Roman" w:hAnsi="Times New Roman" w:cs="Times New Roman"/>
      <w:b/>
      <w:bCs/>
      <w:color w:val="000000"/>
      <w:sz w:val="36"/>
      <w:szCs w:val="36"/>
      <w:lang w:val="en-US"/>
    </w:rPr>
  </w:style>
  <w:style w:type="character" w:styleId="Odkaznakomentr">
    <w:name w:val="annotation reference"/>
    <w:uiPriority w:val="99"/>
    <w:rsid w:val="00560268"/>
    <w:rPr>
      <w:rFonts w:cs="Times New Roman"/>
      <w:sz w:val="16"/>
      <w:szCs w:val="16"/>
    </w:rPr>
  </w:style>
  <w:style w:type="paragraph" w:styleId="Textkomentra">
    <w:name w:val="annotation text"/>
    <w:basedOn w:val="Normlny"/>
    <w:link w:val="TextkomentraChar"/>
    <w:uiPriority w:val="99"/>
    <w:rsid w:val="00560268"/>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560268"/>
    <w:rPr>
      <w:rFonts w:ascii="Times New Roman" w:eastAsia="Times New Roman" w:hAnsi="Times New Roman" w:cs="Times New Roman"/>
      <w:sz w:val="20"/>
      <w:szCs w:val="20"/>
      <w:lang w:eastAsia="sk-SK"/>
    </w:rPr>
  </w:style>
  <w:style w:type="character" w:styleId="Zvraznenie">
    <w:name w:val="Emphasis"/>
    <w:qFormat/>
    <w:rsid w:val="00560268"/>
    <w:rPr>
      <w:i/>
      <w:iCs/>
    </w:rPr>
  </w:style>
  <w:style w:type="paragraph" w:styleId="Zkladntext2">
    <w:name w:val="Body Text 2"/>
    <w:basedOn w:val="Normlny"/>
    <w:link w:val="Zkladntext2Char"/>
    <w:rsid w:val="00560268"/>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560268"/>
    <w:rPr>
      <w:rFonts w:ascii="Times New Roman" w:eastAsia="Times New Roman" w:hAnsi="Times New Roman" w:cs="Times New Roman"/>
      <w:sz w:val="24"/>
      <w:szCs w:val="24"/>
      <w:lang w:eastAsia="sk-SK"/>
    </w:rPr>
  </w:style>
  <w:style w:type="paragraph" w:customStyle="1" w:styleId="western">
    <w:name w:val="western"/>
    <w:basedOn w:val="Normlny"/>
    <w:rsid w:val="00560268"/>
    <w:pPr>
      <w:spacing w:before="100" w:beforeAutospacing="1" w:after="119"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60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299118">
      <w:bodyDiv w:val="1"/>
      <w:marLeft w:val="0"/>
      <w:marRight w:val="0"/>
      <w:marTop w:val="0"/>
      <w:marBottom w:val="0"/>
      <w:divBdr>
        <w:top w:val="none" w:sz="0" w:space="0" w:color="auto"/>
        <w:left w:val="none" w:sz="0" w:space="0" w:color="auto"/>
        <w:bottom w:val="none" w:sz="0" w:space="0" w:color="auto"/>
        <w:right w:val="none" w:sz="0" w:space="0" w:color="auto"/>
      </w:divBdr>
    </w:div>
    <w:div w:id="520709651">
      <w:bodyDiv w:val="1"/>
      <w:marLeft w:val="0"/>
      <w:marRight w:val="0"/>
      <w:marTop w:val="0"/>
      <w:marBottom w:val="0"/>
      <w:divBdr>
        <w:top w:val="none" w:sz="0" w:space="0" w:color="auto"/>
        <w:left w:val="none" w:sz="0" w:space="0" w:color="auto"/>
        <w:bottom w:val="none" w:sz="0" w:space="0" w:color="auto"/>
        <w:right w:val="none" w:sz="0" w:space="0" w:color="auto"/>
      </w:divBdr>
    </w:div>
    <w:div w:id="18733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AE5B-9641-47C2-BE07-0BBB486B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3694</Words>
  <Characters>21060</Characters>
  <Application>Microsoft Office Word</Application>
  <DocSecurity>0</DocSecurity>
  <Lines>175</Lines>
  <Paragraphs>49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Hrešková</dc:creator>
  <cp:lastModifiedBy>User</cp:lastModifiedBy>
  <cp:revision>4</cp:revision>
  <cp:lastPrinted>2020-06-01T12:53:00Z</cp:lastPrinted>
  <dcterms:created xsi:type="dcterms:W3CDTF">2020-06-02T07:30:00Z</dcterms:created>
  <dcterms:modified xsi:type="dcterms:W3CDTF">2020-06-02T07:31:00Z</dcterms:modified>
</cp:coreProperties>
</file>